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100" w:firstLineChars="700"/>
        <w:rPr>
          <w:rFonts w:cs="Times New Roman"/>
          <w:sz w:val="30"/>
          <w:szCs w:val="30"/>
        </w:rPr>
      </w:pPr>
    </w:p>
    <w:p>
      <w:pPr>
        <w:ind w:firstLine="2100" w:firstLineChars="700"/>
        <w:rPr>
          <w:rFonts w:cs="Times New Roman"/>
          <w:sz w:val="30"/>
          <w:szCs w:val="30"/>
        </w:rPr>
      </w:pPr>
    </w:p>
    <w:p>
      <w:pPr>
        <w:ind w:firstLine="2100" w:firstLineChars="700"/>
        <w:rPr>
          <w:rFonts w:cs="Times New Roman"/>
          <w:sz w:val="30"/>
          <w:szCs w:val="30"/>
        </w:rPr>
      </w:pPr>
    </w:p>
    <w:p>
      <w:pPr>
        <w:rPr>
          <w:rFonts w:cs="Times New Roman"/>
          <w:sz w:val="30"/>
          <w:szCs w:val="30"/>
        </w:rPr>
      </w:pPr>
    </w:p>
    <w:p>
      <w:pPr>
        <w:ind w:firstLine="2100" w:firstLineChars="700"/>
        <w:rPr>
          <w:rFonts w:cs="Times New Roman"/>
          <w:sz w:val="30"/>
          <w:szCs w:val="30"/>
        </w:rPr>
      </w:pPr>
    </w:p>
    <w:p>
      <w:pPr>
        <w:rPr>
          <w:rFonts w:ascii="宋体" w:cs="Times New Roman"/>
          <w:sz w:val="30"/>
          <w:szCs w:val="30"/>
        </w:rPr>
      </w:pPr>
    </w:p>
    <w:p>
      <w:pPr>
        <w:rPr>
          <w:rFonts w:ascii="宋体" w:cs="Times New Roman"/>
          <w:sz w:val="30"/>
          <w:szCs w:val="30"/>
        </w:rPr>
      </w:pPr>
    </w:p>
    <w:p>
      <w:pPr>
        <w:pStyle w:val="2"/>
        <w:rPr>
          <w:rFonts w:ascii="宋体" w:cs="Times New Roman"/>
          <w:sz w:val="30"/>
          <w:szCs w:val="30"/>
        </w:rPr>
      </w:pPr>
    </w:p>
    <w:p>
      <w:pPr>
        <w:pStyle w:val="2"/>
        <w:rPr>
          <w:rFonts w:ascii="宋体" w:cs="Times New Roman"/>
          <w:sz w:val="30"/>
          <w:szCs w:val="30"/>
        </w:rPr>
      </w:pPr>
    </w:p>
    <w:p>
      <w:pPr>
        <w:pStyle w:val="2"/>
        <w:rPr>
          <w:rFonts w:ascii="宋体" w:cs="Times New Roman"/>
          <w:sz w:val="30"/>
          <w:szCs w:val="30"/>
        </w:rPr>
      </w:pPr>
    </w:p>
    <w:p>
      <w:pPr>
        <w:jc w:val="center"/>
        <w:rPr>
          <w:rFonts w:ascii="宋体" w:cs="Times New Roman"/>
          <w:sz w:val="30"/>
          <w:szCs w:val="30"/>
        </w:rPr>
      </w:pPr>
      <w:r>
        <w:rPr>
          <w:rFonts w:hint="eastAsia" w:ascii="仿宋_GB2312" w:hAnsi="宋体" w:eastAsia="仿宋_GB2312" w:cs="仿宋_GB2312"/>
          <w:sz w:val="32"/>
          <w:szCs w:val="32"/>
        </w:rPr>
        <w:t>石工信字〔</w:t>
      </w:r>
      <w:r>
        <w:rPr>
          <w:rFonts w:hint="eastAsia" w:ascii="宋体" w:hAnsi="宋体" w:eastAsia="宋体" w:cs="宋体"/>
          <w:sz w:val="32"/>
          <w:szCs w:val="32"/>
        </w:rPr>
        <w:t>20</w:t>
      </w:r>
      <w:r>
        <w:rPr>
          <w:rFonts w:hint="eastAsia" w:ascii="宋体" w:hAnsi="宋体" w:eastAsia="宋体" w:cs="宋体"/>
          <w:sz w:val="32"/>
          <w:szCs w:val="32"/>
          <w:lang w:val="en-US" w:eastAsia="zh-CN"/>
        </w:rPr>
        <w:t>2</w:t>
      </w:r>
      <w:r>
        <w:rPr>
          <w:rFonts w:hint="eastAsia" w:ascii="宋体" w:hAnsi="宋体" w:cs="宋体"/>
          <w:sz w:val="32"/>
          <w:szCs w:val="32"/>
          <w:lang w:val="en-US" w:eastAsia="zh-CN"/>
        </w:rPr>
        <w:t>1</w:t>
      </w:r>
      <w:r>
        <w:rPr>
          <w:rFonts w:hint="eastAsia" w:ascii="仿宋_GB2312" w:hAnsi="宋体" w:eastAsia="仿宋_GB2312" w:cs="仿宋_GB2312"/>
          <w:sz w:val="32"/>
          <w:szCs w:val="32"/>
        </w:rPr>
        <w:t>〕</w:t>
      </w:r>
      <w:r>
        <w:rPr>
          <w:rFonts w:hint="eastAsia" w:ascii="宋体" w:hAnsi="宋体" w:cs="宋体"/>
          <w:sz w:val="32"/>
          <w:szCs w:val="32"/>
          <w:lang w:val="en-US" w:eastAsia="zh-CN"/>
        </w:rPr>
        <w:t>4</w:t>
      </w:r>
      <w:r>
        <w:rPr>
          <w:rFonts w:hint="eastAsia" w:ascii="仿宋_GB2312" w:hAnsi="宋体" w:eastAsia="仿宋_GB2312" w:cs="仿宋_GB2312"/>
          <w:sz w:val="32"/>
          <w:szCs w:val="32"/>
        </w:rPr>
        <w:t>号</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w w:val="95"/>
          <w:sz w:val="44"/>
          <w:szCs w:val="44"/>
        </w:rPr>
      </w:pPr>
      <w:r>
        <w:rPr>
          <w:rFonts w:hint="eastAsia" w:ascii="方正小标宋简体" w:hAnsi="方正小标宋简体" w:eastAsia="方正小标宋简体" w:cs="方正小标宋简体"/>
          <w:b w:val="0"/>
          <w:i w:val="0"/>
          <w:caps w:val="0"/>
          <w:spacing w:val="0"/>
          <w:w w:val="100"/>
          <w:sz w:val="44"/>
          <w:szCs w:val="44"/>
          <w:lang w:val="en-US" w:eastAsia="zh-CN"/>
        </w:rPr>
        <w:t>石城县工业和信息化局关于</w:t>
      </w:r>
      <w:r>
        <w:rPr>
          <w:rFonts w:hint="eastAsia" w:ascii="方正小标宋简体" w:eastAsia="方正小标宋简体" w:cs="宋体"/>
          <w:bCs/>
          <w:sz w:val="44"/>
          <w:szCs w:val="44"/>
        </w:rPr>
        <w:t>印发</w:t>
      </w:r>
      <w:r>
        <w:rPr>
          <w:rFonts w:hint="eastAsia" w:ascii="方正小标宋简体" w:eastAsia="方正小标宋简体" w:cs="宋体"/>
          <w:bCs/>
          <w:sz w:val="44"/>
          <w:szCs w:val="44"/>
          <w:lang w:eastAsia="zh-CN"/>
        </w:rPr>
        <w:t>石城</w:t>
      </w:r>
      <w:r>
        <w:rPr>
          <w:rFonts w:hint="eastAsia" w:ascii="方正小标宋简体" w:hAnsi="宋体" w:eastAsia="方正小标宋简体"/>
          <w:w w:val="95"/>
          <w:sz w:val="44"/>
          <w:szCs w:val="44"/>
        </w:rPr>
        <w:t>县</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olor w:val="000000"/>
          <w:w w:val="95"/>
          <w:sz w:val="44"/>
          <w:szCs w:val="44"/>
        </w:rPr>
      </w:pPr>
      <w:r>
        <w:rPr>
          <w:rFonts w:hint="eastAsia" w:ascii="方正小标宋简体" w:hAnsi="宋体" w:eastAsia="方正小标宋简体"/>
          <w:w w:val="95"/>
          <w:sz w:val="44"/>
          <w:szCs w:val="44"/>
        </w:rPr>
        <w:t>工信行业安全</w:t>
      </w:r>
      <w:r>
        <w:rPr>
          <w:rFonts w:hint="eastAsia" w:ascii="方正小标宋简体" w:hAnsi="宋体" w:eastAsia="方正小标宋简体"/>
          <w:color w:val="000000"/>
          <w:w w:val="95"/>
          <w:sz w:val="44"/>
          <w:szCs w:val="44"/>
        </w:rPr>
        <w:t>生产专项整治三年行动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宋体" w:eastAsia="方正小标宋简体"/>
          <w:color w:val="000000"/>
          <w:w w:val="95"/>
          <w:sz w:val="44"/>
          <w:szCs w:val="44"/>
        </w:rPr>
        <w:t>攻坚战实施方案</w:t>
      </w:r>
      <w:r>
        <w:rPr>
          <w:rFonts w:hint="eastAsia" w:ascii="方正小标宋简体" w:hAnsi="方正小标宋简体" w:eastAsia="方正小标宋简体" w:cs="方正小标宋简体"/>
          <w:sz w:val="44"/>
          <w:szCs w:val="44"/>
          <w:lang w:val="en-US" w:eastAsia="zh-CN"/>
        </w:rPr>
        <w:t>的通知</w:t>
      </w:r>
    </w:p>
    <w:p>
      <w:pPr>
        <w:spacing w:line="560" w:lineRule="exact"/>
        <w:jc w:val="both"/>
        <w:rPr>
          <w:rFonts w:ascii="方正小标宋简体" w:hAnsi="Courier New"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各股室、信息中心，各有关企业：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经研究，现将《</w:t>
      </w:r>
      <w:r>
        <w:rPr>
          <w:rFonts w:hint="eastAsia" w:ascii="仿宋_GB2312" w:hAnsi="仿宋_GB2312" w:eastAsia="仿宋_GB2312" w:cs="仿宋_GB2312"/>
          <w:sz w:val="32"/>
          <w:szCs w:val="32"/>
          <w:lang w:eastAsia="zh-CN"/>
        </w:rPr>
        <w:t>石城</w:t>
      </w:r>
      <w:r>
        <w:rPr>
          <w:rFonts w:hint="eastAsia" w:ascii="仿宋_GB2312" w:hAnsi="仿宋_GB2312" w:eastAsia="仿宋_GB2312" w:cs="仿宋_GB2312"/>
          <w:sz w:val="32"/>
          <w:szCs w:val="32"/>
        </w:rPr>
        <w:t>县工信行业安全生产专项整治三年行动攻坚战实施方案》印发给你们，请认真贯彻执行。</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ascii="楷体_GB2312" w:eastAsia="楷体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ascii="楷体_GB2312" w:eastAsia="楷体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石城县工业和信息化局                         </w:t>
      </w:r>
    </w:p>
    <w:p>
      <w:pPr>
        <w:keepNext w:val="0"/>
        <w:keepLines w:val="0"/>
        <w:pageBreakBefore w:val="0"/>
        <w:widowControl w:val="0"/>
        <w:kinsoku/>
        <w:wordWrap/>
        <w:overflowPunct/>
        <w:topLinePunct w:val="0"/>
        <w:autoSpaceDE/>
        <w:autoSpaceDN/>
        <w:bidi w:val="0"/>
        <w:adjustRightInd/>
        <w:snapToGrid/>
        <w:spacing w:line="570" w:lineRule="exact"/>
        <w:ind w:firstLine="4800" w:firstLineChars="1500"/>
        <w:textAlignment w:val="auto"/>
        <w:rPr>
          <w:rFonts w:hint="eastAsia" w:ascii="仿宋_GB2312" w:hAnsi="仿宋_GB2312" w:eastAsia="仿宋_GB2312" w:cs="仿宋_GB2312"/>
          <w:sz w:val="32"/>
          <w:szCs w:val="32"/>
        </w:rPr>
      </w:pPr>
      <w:r>
        <w:rPr>
          <w:rFonts w:hint="eastAsia" w:ascii="宋体" w:hAnsi="宋体" w:eastAsia="宋体" w:cs="宋体"/>
          <w:sz w:val="32"/>
          <w:szCs w:val="32"/>
        </w:rPr>
        <w:t>20</w:t>
      </w:r>
      <w:r>
        <w:rPr>
          <w:rFonts w:hint="eastAsia" w:ascii="宋体" w:hAnsi="宋体" w:eastAsia="宋体" w:cs="宋体"/>
          <w:sz w:val="32"/>
          <w:szCs w:val="32"/>
          <w:lang w:val="en-US" w:eastAsia="zh-CN"/>
        </w:rPr>
        <w:t>21</w:t>
      </w:r>
      <w:r>
        <w:rPr>
          <w:rFonts w:hint="eastAsia" w:ascii="仿宋_GB2312" w:hAnsi="仿宋_GB2312" w:eastAsia="仿宋_GB2312" w:cs="仿宋_GB2312"/>
          <w:sz w:val="32"/>
          <w:szCs w:val="32"/>
        </w:rPr>
        <w:t>年</w:t>
      </w:r>
      <w:r>
        <w:rPr>
          <w:rFonts w:hint="eastAsia" w:ascii="宋体" w:hAnsi="宋体" w:cs="宋体"/>
          <w:sz w:val="32"/>
          <w:szCs w:val="32"/>
          <w:lang w:val="en-US" w:eastAsia="zh-CN"/>
        </w:rPr>
        <w:t>3</w:t>
      </w:r>
      <w:r>
        <w:rPr>
          <w:rFonts w:hint="eastAsia" w:ascii="仿宋_GB2312" w:hAnsi="仿宋_GB2312" w:eastAsia="仿宋_GB2312" w:cs="仿宋_GB2312"/>
          <w:sz w:val="32"/>
          <w:szCs w:val="32"/>
        </w:rPr>
        <w:t>月</w:t>
      </w:r>
      <w:r>
        <w:rPr>
          <w:rFonts w:hint="eastAsia" w:ascii="宋体" w:hAnsi="宋体" w:cs="宋体"/>
          <w:sz w:val="32"/>
          <w:szCs w:val="32"/>
          <w:lang w:val="en-US" w:eastAsia="zh-CN"/>
        </w:rPr>
        <w:t>26</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70" w:lineRule="exact"/>
        <w:ind w:firstLine="4800" w:firstLineChars="15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olor w:val="000000"/>
          <w:sz w:val="44"/>
          <w:szCs w:val="44"/>
          <w:lang w:eastAsia="zh-CN"/>
        </w:rPr>
        <w:sectPr>
          <w:footerReference r:id="rId3" w:type="default"/>
          <w:pgSz w:w="11906" w:h="16838"/>
          <w:pgMar w:top="1440" w:right="1803" w:bottom="1440" w:left="1803" w:header="851" w:footer="992" w:gutter="0"/>
          <w:pgNumType w:fmt="numberInDash" w:start="2"/>
          <w:cols w:space="0" w:num="1"/>
          <w:rtlGutter w:val="0"/>
          <w:docGrid w:type="lines" w:linePitch="436" w:charSpace="0"/>
        </w:sect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石城县</w:t>
      </w:r>
      <w:r>
        <w:rPr>
          <w:rFonts w:hint="eastAsia" w:ascii="方正小标宋简体" w:hAnsi="宋体" w:eastAsia="方正小标宋简体"/>
          <w:color w:val="000000"/>
          <w:sz w:val="44"/>
          <w:szCs w:val="44"/>
        </w:rPr>
        <w:t>工信行业安全生产专项整治</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三年行动攻坚战实施方案</w:t>
      </w:r>
    </w:p>
    <w:p>
      <w:pPr>
        <w:keepNext w:val="0"/>
        <w:keepLines w:val="0"/>
        <w:pageBreakBefore w:val="0"/>
        <w:widowControl w:val="0"/>
        <w:kinsoku/>
        <w:wordWrap/>
        <w:overflowPunct/>
        <w:topLinePunct w:val="0"/>
        <w:autoSpaceDE/>
        <w:autoSpaceDN/>
        <w:bidi w:val="0"/>
        <w:adjustRightInd/>
        <w:snapToGrid/>
        <w:spacing w:line="560" w:lineRule="exact"/>
        <w:textAlignment w:val="auto"/>
        <w:rPr>
          <w:color w:val="000000"/>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w w:val="95"/>
          <w:sz w:val="32"/>
          <w:szCs w:val="32"/>
        </w:rPr>
      </w:pPr>
      <w:r>
        <w:rPr>
          <w:rFonts w:hint="eastAsia" w:ascii="仿宋_GB2312" w:hAnsi="仿宋_GB2312" w:eastAsia="仿宋_GB2312" w:cs="仿宋_GB2312"/>
          <w:color w:val="000000"/>
          <w:sz w:val="32"/>
          <w:szCs w:val="32"/>
        </w:rPr>
        <w:t>按照《</w:t>
      </w:r>
      <w:r>
        <w:rPr>
          <w:rFonts w:hint="eastAsia" w:ascii="仿宋_GB2312" w:hAnsi="仿宋_GB2312" w:eastAsia="仿宋_GB2312" w:cs="仿宋_GB2312"/>
          <w:w w:val="95"/>
          <w:sz w:val="32"/>
          <w:szCs w:val="32"/>
        </w:rPr>
        <w:t>石城县安委会关于印发</w:t>
      </w:r>
      <w:r>
        <w:rPr>
          <w:rFonts w:hint="eastAsia" w:ascii="仿宋_GB2312" w:hAnsi="仿宋_GB2312" w:eastAsia="仿宋_GB2312" w:cs="仿宋_GB2312"/>
          <w:color w:val="000000"/>
          <w:w w:val="95"/>
          <w:sz w:val="32"/>
          <w:szCs w:val="32"/>
        </w:rPr>
        <w:t>石城县安全生产专项整治三年行动“十大攻坚战”实施方案</w:t>
      </w:r>
      <w:r>
        <w:rPr>
          <w:rFonts w:hint="eastAsia" w:ascii="仿宋_GB2312" w:hAnsi="仿宋_GB2312" w:eastAsia="仿宋_GB2312" w:cs="仿宋_GB2312"/>
          <w:w w:val="95"/>
          <w:sz w:val="32"/>
          <w:szCs w:val="32"/>
        </w:rPr>
        <w:t>的通知》要求，</w:t>
      </w:r>
      <w:r>
        <w:rPr>
          <w:rFonts w:hint="eastAsia" w:ascii="仿宋_GB2312" w:hAnsi="仿宋_GB2312" w:eastAsia="仿宋_GB2312" w:cs="仿宋_GB2312"/>
          <w:color w:val="000000"/>
          <w:sz w:val="32"/>
          <w:szCs w:val="32"/>
        </w:rPr>
        <w:t>为切实推进全县工信行业安全生产专项整治三年行动取得实效，提升安全生产整体水平，根据工信部门安全生产职责分工，结合工信监管行业企业特点规律，制定本</w:t>
      </w:r>
      <w:r>
        <w:rPr>
          <w:rFonts w:hint="eastAsia" w:ascii="仿宋_GB2312" w:hAnsi="仿宋_GB2312" w:eastAsia="仿宋_GB2312" w:cs="仿宋_GB2312"/>
          <w:color w:val="000000"/>
          <w:w w:val="95"/>
          <w:sz w:val="32"/>
          <w:szCs w:val="32"/>
        </w:rPr>
        <w:t>方案。</w:t>
      </w:r>
    </w:p>
    <w:p>
      <w:pPr>
        <w:pStyle w:val="23"/>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一、指导思想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以习近平新时代中国特色社会主义思想为指导，深入学习贯彻党的十九大和十九届二中、三中、四中、五中全会精神，全面贯彻落实上级决策部署，坚持人民至上、生命至上理念，统筹发展和安全，强化红线意识和底线思维，按照“全梳理、找痛点、定措施、猛攻坚”工作思路，突出整治重点、深化责任落实、狠抓源头治理、强化科技支撑，着力消除隐患、解决问题，提升全县工信行业安全生产治理体系和治理能力，全面压实企业主体责任和部门监管责任，减少一般事故，防范较大事故，确保人民群众生命财产安全和经济社会发展稳定，为庆祝建党</w:t>
      </w:r>
      <w:r>
        <w:rPr>
          <w:rFonts w:hint="eastAsia" w:ascii="宋体" w:hAnsi="宋体" w:eastAsia="宋体" w:cs="宋体"/>
          <w:color w:val="000000"/>
          <w:kern w:val="2"/>
          <w:sz w:val="32"/>
          <w:szCs w:val="32"/>
          <w:lang w:val="en-US" w:eastAsia="zh-CN" w:bidi="ar-SA"/>
        </w:rPr>
        <w:t>100</w:t>
      </w:r>
      <w:r>
        <w:rPr>
          <w:rFonts w:hint="eastAsia" w:ascii="仿宋_GB2312" w:hAnsi="仿宋_GB2312" w:eastAsia="仿宋_GB2312" w:cs="仿宋_GB2312"/>
          <w:color w:val="000000"/>
          <w:sz w:val="32"/>
          <w:szCs w:val="32"/>
        </w:rPr>
        <w:t>周年以及“十四五”开好局、起好步，</w:t>
      </w:r>
      <w:r>
        <w:rPr>
          <w:rStyle w:val="22"/>
          <w:rFonts w:hint="eastAsia" w:ascii="仿宋_GB2312" w:hAnsi="仿宋_GB2312" w:eastAsia="仿宋_GB2312" w:cs="仿宋_GB2312"/>
          <w:bCs/>
          <w:kern w:val="0"/>
          <w:sz w:val="32"/>
          <w:szCs w:val="32"/>
        </w:rPr>
        <w:t>提供更加坚实的安全保障。</w:t>
      </w:r>
    </w:p>
    <w:p>
      <w:pPr>
        <w:pStyle w:val="23"/>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二、主要任务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zh-CN"/>
        </w:rPr>
        <w:t>（一）开展民爆和混凝土行业重大安全风险管控“回头看”攻坚战。</w:t>
      </w:r>
      <w:r>
        <w:rPr>
          <w:rFonts w:hint="eastAsia" w:ascii="仿宋_GB2312" w:hAnsi="仿宋_GB2312" w:eastAsia="仿宋_GB2312" w:cs="仿宋_GB2312"/>
          <w:b/>
          <w:bCs/>
          <w:sz w:val="32"/>
          <w:szCs w:val="32"/>
        </w:rPr>
        <w:t>一方面</w:t>
      </w:r>
      <w:r>
        <w:rPr>
          <w:rFonts w:hint="eastAsia" w:ascii="仿宋_GB2312" w:hAnsi="仿宋_GB2312" w:eastAsia="仿宋_GB2312" w:cs="仿宋_GB2312"/>
          <w:sz w:val="32"/>
          <w:szCs w:val="32"/>
        </w:rPr>
        <w:t>，要全面梳理三年行动开展以来辨识管控的重大安全风险，逐一进行“回头看”，对标对表，查漏补缺，健全台账，完善“三清单”，防止责任缺位、措施不实，确保管控到位。</w:t>
      </w:r>
      <w:r>
        <w:rPr>
          <w:rFonts w:hint="eastAsia" w:ascii="仿宋_GB2312" w:hAnsi="仿宋_GB2312" w:eastAsia="仿宋_GB2312" w:cs="仿宋_GB2312"/>
          <w:b/>
          <w:bCs/>
          <w:sz w:val="32"/>
          <w:szCs w:val="32"/>
        </w:rPr>
        <w:t>另一方面</w:t>
      </w:r>
      <w:r>
        <w:rPr>
          <w:rFonts w:hint="eastAsia" w:ascii="仿宋_GB2312" w:hAnsi="仿宋_GB2312" w:eastAsia="仿宋_GB2312" w:cs="仿宋_GB2312"/>
          <w:sz w:val="32"/>
          <w:szCs w:val="32"/>
        </w:rPr>
        <w:t>，要按照安全风险辨识规范，结合本地、监管行业领域实际，对重点企业、重点环节、重点时段，科学分析、辨识安全风险，做到横向到边、纵向到底，不漏查一处风险；对排查辨识的安全风险，采取有效的防范、管控措施，确保安全风险限制在可防、可控范围内。</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zh-CN"/>
        </w:rPr>
        <w:t>（二）开展安全隐患排查治理“清零”攻坚战。</w:t>
      </w:r>
      <w:r>
        <w:rPr>
          <w:rFonts w:hint="eastAsia" w:ascii="仿宋_GB2312" w:hAnsi="仿宋_GB2312" w:eastAsia="仿宋_GB2312" w:cs="仿宋_GB2312"/>
          <w:sz w:val="32"/>
          <w:szCs w:val="32"/>
        </w:rPr>
        <w:t>组织本地监管行业领域企业全面开展安全隐患大排查大整治，建立健全隐患清单，实行“闭环”管理。可通过邀请专家、购买第三方服务等方式，指导帮助企业开展隐患排查整治；适时组织参与暗查暗访、专项检查、联合执法、综合督查等形式，加大执法检查力度，切实推进隐患“清零”。企业自查、各级检查发现的一般隐患，要立查立改、立知立改，确保及时整改到位；对重大隐患，要严格按照整改措施、责任、资金、时限和预案“五到位”要求，限期整改到位；对无法整改或到期整改不到位的，报同级执法部门建议给予关停处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zh-CN"/>
        </w:rPr>
        <w:t>（三）开展依法依规推动落后产能退出攻坚战。</w:t>
      </w:r>
      <w:r>
        <w:rPr>
          <w:rFonts w:hint="eastAsia" w:ascii="仿宋_GB2312" w:hAnsi="仿宋_GB2312" w:eastAsia="仿宋_GB2312" w:cs="仿宋_GB2312"/>
          <w:sz w:val="32"/>
          <w:szCs w:val="32"/>
        </w:rPr>
        <w:t>深入推进源头治理，以水泥行业领域为重点，对达不到相关安全标准和淘汰类产能、工艺装备依法依规逐步淘汰、关闭和取缔，推动落后产能退出，促进行业安全生产整体水平提升。要采取措施，巩固工作成果，严防淘汰落后产能、工艺、设备和关闭企业死灰复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zh-CN"/>
        </w:rPr>
        <w:t>（四）开展企业技术改造升级攻坚战。</w:t>
      </w:r>
      <w:r>
        <w:rPr>
          <w:rFonts w:hint="eastAsia" w:ascii="仿宋_GB2312" w:hAnsi="仿宋_GB2312" w:eastAsia="仿宋_GB2312" w:cs="仿宋_GB2312"/>
          <w:sz w:val="32"/>
          <w:szCs w:val="32"/>
        </w:rPr>
        <w:t>以企业为主体,以市场为导向，以创新为动力，在危险化学品、冶金工贸等高危行业领域，推动企业开展“机械化换人、自动化减人、智能化管控”专项行动，通过技术升级、工艺改造、设备更新等方式，促进企业转型升级，改善安全条件，全面提高企业安全风险防控能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zh-CN"/>
        </w:rPr>
        <w:t>（五）开展安全生产宣传教育攻坚战。</w:t>
      </w:r>
      <w:r>
        <w:rPr>
          <w:rFonts w:hint="eastAsia" w:ascii="仿宋_GB2312" w:hAnsi="仿宋_GB2312" w:eastAsia="仿宋_GB2312" w:cs="仿宋_GB2312"/>
          <w:sz w:val="32"/>
          <w:szCs w:val="32"/>
        </w:rPr>
        <w:t>把学习贯彻习近平总书记关于安全生产重要论述作为长期坚持的重要政治任务，将习近平总书记关于安全生产重要论述纳入中心组学习内容，提高抓好安全生产工作的政治自觉、思想自觉、行动自觉。大力弘扬安全第一、生命至上理念，以“互联网+”、“</w:t>
      </w:r>
      <w:r>
        <w:rPr>
          <w:rFonts w:hint="eastAsia" w:ascii="宋体" w:hAnsi="宋体" w:eastAsia="宋体" w:cs="宋体"/>
          <w:color w:val="000000"/>
          <w:kern w:val="2"/>
          <w:sz w:val="32"/>
          <w:szCs w:val="32"/>
          <w:lang w:val="en-US" w:eastAsia="zh-CN" w:bidi="ar-SA"/>
        </w:rPr>
        <w:t>5</w:t>
      </w:r>
      <w:r>
        <w:rPr>
          <w:rFonts w:hint="eastAsia" w:ascii="仿宋_GB2312" w:hAnsi="仿宋_GB2312" w:eastAsia="仿宋_GB2312" w:cs="仿宋_GB2312"/>
          <w:sz w:val="32"/>
          <w:szCs w:val="32"/>
        </w:rPr>
        <w:t>·</w:t>
      </w:r>
      <w:r>
        <w:rPr>
          <w:rFonts w:hint="eastAsia" w:ascii="宋体" w:hAnsi="宋体" w:eastAsia="宋体" w:cs="宋体"/>
          <w:color w:val="000000"/>
          <w:kern w:val="2"/>
          <w:sz w:val="32"/>
          <w:szCs w:val="32"/>
          <w:lang w:val="en-US" w:eastAsia="zh-CN" w:bidi="ar-SA"/>
        </w:rPr>
        <w:t>12</w:t>
      </w:r>
      <w:r>
        <w:rPr>
          <w:rFonts w:hint="eastAsia" w:ascii="仿宋_GB2312" w:hAnsi="仿宋_GB2312" w:eastAsia="仿宋_GB2312" w:cs="仿宋_GB2312"/>
          <w:sz w:val="32"/>
          <w:szCs w:val="32"/>
        </w:rPr>
        <w:t>”全国防灾减灾日、“安全生产月”、“安全生产万里行”、“</w:t>
      </w:r>
      <w:r>
        <w:rPr>
          <w:rFonts w:hint="eastAsia" w:ascii="宋体" w:hAnsi="宋体" w:eastAsia="宋体" w:cs="宋体"/>
          <w:color w:val="000000"/>
          <w:kern w:val="2"/>
          <w:sz w:val="32"/>
          <w:szCs w:val="32"/>
          <w:lang w:val="en-US" w:eastAsia="zh-CN" w:bidi="ar-SA"/>
        </w:rPr>
        <w:t>119</w:t>
      </w:r>
      <w:r>
        <w:rPr>
          <w:rFonts w:hint="eastAsia" w:ascii="仿宋_GB2312" w:hAnsi="仿宋_GB2312" w:eastAsia="仿宋_GB2312" w:cs="仿宋_GB2312"/>
          <w:sz w:val="32"/>
          <w:szCs w:val="32"/>
        </w:rPr>
        <w:t>消防宣传日”等平台或活动为载体，积极响应广泛参与安全应急科普宣教活动，充分发挥安全文化在企业安全生产中的引领、警示、教育和规范作用，积极推进安全宣传进企业、进家庭，持续开展应急科普宣传，营造“人人讲安全、人人会安全、人人要安全”的浓厚安全文化建设氛围，提升安全生产和科学应急意识，实现以文化促安全，以安全促发展。</w:t>
      </w:r>
    </w:p>
    <w:p>
      <w:pPr>
        <w:pStyle w:val="23"/>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lang w:eastAsia="zh-CN"/>
        </w:rPr>
        <w:t>三</w:t>
      </w:r>
      <w:r>
        <w:rPr>
          <w:rFonts w:hint="eastAsia" w:ascii="黑体" w:hAnsi="黑体" w:eastAsia="黑体" w:cs="黑体"/>
          <w:color w:val="000000"/>
          <w:sz w:val="32"/>
          <w:szCs w:val="32"/>
        </w:rPr>
        <w:t>、整治步骤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w:t>
      </w:r>
      <w:r>
        <w:rPr>
          <w:rFonts w:hint="eastAsia" w:ascii="宋体" w:hAnsi="宋体" w:eastAsia="宋体" w:cs="宋体"/>
          <w:color w:val="000000"/>
          <w:kern w:val="2"/>
          <w:sz w:val="32"/>
          <w:szCs w:val="32"/>
          <w:lang w:val="en-US" w:eastAsia="zh-CN" w:bidi="ar-SA"/>
        </w:rPr>
        <w:t>2021</w:t>
      </w:r>
      <w:r>
        <w:rPr>
          <w:rFonts w:hint="eastAsia" w:ascii="仿宋_GB2312" w:hAnsi="仿宋_GB2312" w:eastAsia="仿宋_GB2312" w:cs="仿宋_GB2312"/>
          <w:sz w:val="32"/>
          <w:szCs w:val="32"/>
        </w:rPr>
        <w:t>年</w:t>
      </w:r>
      <w:r>
        <w:rPr>
          <w:rFonts w:hint="eastAsia" w:ascii="宋体" w:hAnsi="宋体" w:eastAsia="宋体" w:cs="宋体"/>
          <w:color w:val="000000"/>
          <w:kern w:val="2"/>
          <w:sz w:val="32"/>
          <w:szCs w:val="32"/>
          <w:lang w:val="en-US" w:eastAsia="zh-CN" w:bidi="ar-SA"/>
        </w:rPr>
        <w:t>3</w:t>
      </w:r>
      <w:r>
        <w:rPr>
          <w:rFonts w:hint="eastAsia" w:ascii="仿宋_GB2312" w:hAnsi="仿宋_GB2312" w:eastAsia="仿宋_GB2312" w:cs="仿宋_GB2312"/>
          <w:sz w:val="32"/>
          <w:szCs w:val="32"/>
        </w:rPr>
        <w:t>月至</w:t>
      </w:r>
      <w:r>
        <w:rPr>
          <w:rFonts w:hint="eastAsia" w:ascii="宋体" w:hAnsi="宋体" w:eastAsia="宋体" w:cs="宋体"/>
          <w:color w:val="000000"/>
          <w:kern w:val="2"/>
          <w:sz w:val="32"/>
          <w:szCs w:val="32"/>
          <w:lang w:val="en-US" w:eastAsia="zh-CN" w:bidi="ar-SA"/>
        </w:rPr>
        <w:t>12</w:t>
      </w:r>
      <w:r>
        <w:rPr>
          <w:rFonts w:hint="eastAsia" w:ascii="仿宋_GB2312" w:hAnsi="仿宋_GB2312" w:eastAsia="仿宋_GB2312" w:cs="仿宋_GB2312"/>
          <w:sz w:val="32"/>
          <w:szCs w:val="32"/>
        </w:rPr>
        <w:t>月，分为</w:t>
      </w:r>
      <w:r>
        <w:rPr>
          <w:rFonts w:hint="eastAsia" w:ascii="宋体" w:hAnsi="宋体" w:eastAsia="宋体" w:cs="宋体"/>
          <w:color w:val="000000"/>
          <w:kern w:val="2"/>
          <w:sz w:val="32"/>
          <w:szCs w:val="32"/>
          <w:lang w:val="en-US" w:eastAsia="zh-CN" w:bidi="ar-SA"/>
        </w:rPr>
        <w:t>3</w:t>
      </w:r>
      <w:r>
        <w:rPr>
          <w:rFonts w:hint="eastAsia" w:ascii="仿宋_GB2312" w:hAnsi="仿宋_GB2312" w:eastAsia="仿宋_GB2312" w:cs="仿宋_GB2312"/>
          <w:sz w:val="32"/>
          <w:szCs w:val="32"/>
        </w:rPr>
        <w:t>个阶段进行。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sz w:val="32"/>
          <w:szCs w:val="32"/>
          <w:lang w:val="zh-CN"/>
        </w:rPr>
        <w:t>（一）动员部署（</w:t>
      </w:r>
      <w:r>
        <w:rPr>
          <w:rFonts w:hint="eastAsia" w:ascii="宋体" w:hAnsi="宋体" w:eastAsia="宋体" w:cs="宋体"/>
          <w:b/>
          <w:bCs/>
          <w:color w:val="000000"/>
          <w:kern w:val="2"/>
          <w:sz w:val="32"/>
          <w:szCs w:val="32"/>
          <w:lang w:val="zh-CN" w:eastAsia="zh-CN" w:bidi="ar-SA"/>
        </w:rPr>
        <w:t>2021</w:t>
      </w:r>
      <w:r>
        <w:rPr>
          <w:rFonts w:hint="eastAsia" w:ascii="楷体_GB2312" w:hAnsi="楷体_GB2312" w:eastAsia="楷体_GB2312" w:cs="楷体_GB2312"/>
          <w:b/>
          <w:bCs/>
          <w:sz w:val="32"/>
          <w:szCs w:val="32"/>
          <w:lang w:val="zh-CN"/>
        </w:rPr>
        <w:t>年</w:t>
      </w:r>
      <w:r>
        <w:rPr>
          <w:rFonts w:hint="eastAsia" w:ascii="宋体" w:hAnsi="宋体" w:eastAsia="宋体" w:cs="宋体"/>
          <w:b/>
          <w:bCs/>
          <w:color w:val="000000"/>
          <w:kern w:val="2"/>
          <w:sz w:val="32"/>
          <w:szCs w:val="32"/>
          <w:lang w:val="zh-CN" w:eastAsia="zh-CN" w:bidi="ar-SA"/>
        </w:rPr>
        <w:t>3</w:t>
      </w:r>
      <w:r>
        <w:rPr>
          <w:rFonts w:hint="eastAsia" w:ascii="楷体_GB2312" w:hAnsi="楷体_GB2312" w:eastAsia="楷体_GB2312" w:cs="楷体_GB2312"/>
          <w:b/>
          <w:bCs/>
          <w:sz w:val="32"/>
          <w:szCs w:val="32"/>
          <w:lang w:val="zh-CN"/>
        </w:rPr>
        <w:t>月底前）。</w:t>
      </w:r>
      <w:r>
        <w:rPr>
          <w:rFonts w:hint="eastAsia" w:ascii="仿宋_GB2312" w:hAnsi="仿宋_GB2312" w:eastAsia="仿宋_GB2312" w:cs="仿宋_GB2312"/>
          <w:sz w:val="32"/>
          <w:szCs w:val="32"/>
        </w:rPr>
        <w:t>要全面总结三年行动前两阶段工作情况，结合监管行业领域安全生产工作特点，细化实施方案，明确攻坚任务及责任；要通过动员部署会等形式，广泛宣传集中攻坚行动具体内容及有关措施，营造浓厚攻坚氛围。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sz w:val="32"/>
          <w:szCs w:val="32"/>
          <w:lang w:val="zh-CN"/>
        </w:rPr>
        <w:t>（二）实施攻坚（</w:t>
      </w:r>
      <w:r>
        <w:rPr>
          <w:rFonts w:hint="eastAsia" w:ascii="宋体" w:hAnsi="宋体" w:eastAsia="宋体" w:cs="宋体"/>
          <w:b/>
          <w:bCs/>
          <w:color w:val="000000"/>
          <w:kern w:val="2"/>
          <w:sz w:val="32"/>
          <w:szCs w:val="32"/>
          <w:lang w:val="zh-CN" w:eastAsia="zh-CN" w:bidi="ar-SA"/>
        </w:rPr>
        <w:t>2021</w:t>
      </w:r>
      <w:r>
        <w:rPr>
          <w:rFonts w:hint="eastAsia" w:ascii="楷体_GB2312" w:hAnsi="楷体_GB2312" w:eastAsia="楷体_GB2312" w:cs="楷体_GB2312"/>
          <w:b/>
          <w:bCs/>
          <w:sz w:val="32"/>
          <w:szCs w:val="32"/>
          <w:lang w:val="zh-CN"/>
        </w:rPr>
        <w:t>年</w:t>
      </w:r>
      <w:r>
        <w:rPr>
          <w:rFonts w:hint="eastAsia" w:ascii="宋体" w:hAnsi="宋体" w:eastAsia="宋体" w:cs="宋体"/>
          <w:b/>
          <w:bCs/>
          <w:color w:val="000000"/>
          <w:kern w:val="2"/>
          <w:sz w:val="32"/>
          <w:szCs w:val="32"/>
          <w:lang w:val="zh-CN" w:eastAsia="zh-CN" w:bidi="ar-SA"/>
        </w:rPr>
        <w:t>4</w:t>
      </w:r>
      <w:r>
        <w:rPr>
          <w:rFonts w:hint="eastAsia" w:ascii="楷体_GB2312" w:hAnsi="楷体_GB2312" w:eastAsia="楷体_GB2312" w:cs="楷体_GB2312"/>
          <w:b/>
          <w:bCs/>
          <w:sz w:val="32"/>
          <w:szCs w:val="32"/>
          <w:lang w:val="zh-CN"/>
        </w:rPr>
        <w:t>月至</w:t>
      </w:r>
      <w:r>
        <w:rPr>
          <w:rFonts w:hint="eastAsia" w:ascii="宋体" w:hAnsi="宋体" w:eastAsia="宋体" w:cs="宋体"/>
          <w:b/>
          <w:bCs/>
          <w:color w:val="000000"/>
          <w:kern w:val="2"/>
          <w:sz w:val="32"/>
          <w:szCs w:val="32"/>
          <w:lang w:val="zh-CN" w:eastAsia="zh-CN" w:bidi="ar-SA"/>
        </w:rPr>
        <w:t>9</w:t>
      </w:r>
      <w:r>
        <w:rPr>
          <w:rFonts w:hint="eastAsia" w:ascii="楷体_GB2312" w:hAnsi="楷体_GB2312" w:eastAsia="楷体_GB2312" w:cs="楷体_GB2312"/>
          <w:b/>
          <w:bCs/>
          <w:sz w:val="32"/>
          <w:szCs w:val="32"/>
          <w:lang w:val="zh-CN"/>
        </w:rPr>
        <w:t>月底）。</w:t>
      </w:r>
      <w:r>
        <w:rPr>
          <w:rFonts w:hint="eastAsia" w:ascii="仿宋_GB2312" w:hAnsi="仿宋_GB2312" w:eastAsia="仿宋_GB2312" w:cs="仿宋_GB2312"/>
          <w:color w:val="000000"/>
          <w:sz w:val="32"/>
          <w:szCs w:val="32"/>
        </w:rPr>
        <w:t>围绕目标任务清单，采取有效措施，严格责任落实，有序推进各项目标任务高质高效完成；积极响应调度，搞好联动、系统推进，采取现场办公、“开小灶”等措施，对重点难点问题，加大攻坚力度，确保有效管用；要突出长效长治，对普遍性、规律性的问题，深入分析原因，治标治本，建立完善长效机制，确保长治久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sz w:val="32"/>
          <w:szCs w:val="32"/>
          <w:lang w:val="zh-CN"/>
        </w:rPr>
        <w:t>（三）总结提升（</w:t>
      </w:r>
      <w:r>
        <w:rPr>
          <w:rFonts w:hint="eastAsia" w:ascii="宋体" w:hAnsi="宋体" w:eastAsia="宋体" w:cs="宋体"/>
          <w:b/>
          <w:bCs/>
          <w:color w:val="000000"/>
          <w:kern w:val="2"/>
          <w:sz w:val="32"/>
          <w:szCs w:val="32"/>
          <w:lang w:val="zh-CN" w:eastAsia="zh-CN" w:bidi="ar-SA"/>
        </w:rPr>
        <w:t>2021</w:t>
      </w:r>
      <w:r>
        <w:rPr>
          <w:rFonts w:hint="eastAsia" w:ascii="楷体_GB2312" w:hAnsi="楷体_GB2312" w:eastAsia="楷体_GB2312" w:cs="楷体_GB2312"/>
          <w:b/>
          <w:bCs/>
          <w:sz w:val="32"/>
          <w:szCs w:val="32"/>
          <w:lang w:val="zh-CN"/>
        </w:rPr>
        <w:t>年</w:t>
      </w:r>
      <w:r>
        <w:rPr>
          <w:rFonts w:hint="eastAsia" w:ascii="宋体" w:hAnsi="宋体" w:eastAsia="宋体" w:cs="宋体"/>
          <w:b/>
          <w:bCs/>
          <w:color w:val="000000"/>
          <w:kern w:val="2"/>
          <w:sz w:val="32"/>
          <w:szCs w:val="32"/>
          <w:lang w:val="zh-CN" w:eastAsia="zh-CN" w:bidi="ar-SA"/>
        </w:rPr>
        <w:t>10</w:t>
      </w:r>
      <w:r>
        <w:rPr>
          <w:rFonts w:hint="eastAsia" w:ascii="楷体_GB2312" w:hAnsi="楷体_GB2312" w:eastAsia="楷体_GB2312" w:cs="楷体_GB2312"/>
          <w:b/>
          <w:bCs/>
          <w:sz w:val="32"/>
          <w:szCs w:val="32"/>
          <w:lang w:val="zh-CN"/>
        </w:rPr>
        <w:t>月至</w:t>
      </w:r>
      <w:r>
        <w:rPr>
          <w:rFonts w:hint="eastAsia" w:ascii="宋体" w:hAnsi="宋体" w:eastAsia="宋体" w:cs="宋体"/>
          <w:b/>
          <w:bCs/>
          <w:color w:val="000000"/>
          <w:kern w:val="2"/>
          <w:sz w:val="32"/>
          <w:szCs w:val="32"/>
          <w:lang w:val="zh-CN" w:eastAsia="zh-CN" w:bidi="ar-SA"/>
        </w:rPr>
        <w:t>12</w:t>
      </w:r>
      <w:r>
        <w:rPr>
          <w:rFonts w:hint="eastAsia" w:ascii="楷体_GB2312" w:hAnsi="楷体_GB2312" w:eastAsia="楷体_GB2312" w:cs="楷体_GB2312"/>
          <w:b/>
          <w:bCs/>
          <w:sz w:val="32"/>
          <w:szCs w:val="32"/>
          <w:lang w:val="zh-CN"/>
        </w:rPr>
        <w:t>月）</w:t>
      </w:r>
      <w:r>
        <w:rPr>
          <w:rFonts w:hint="eastAsia" w:ascii="仿宋_GB2312" w:hAnsi="仿宋_GB2312" w:eastAsia="仿宋_GB2312" w:cs="仿宋_GB2312"/>
          <w:color w:val="000000"/>
          <w:sz w:val="32"/>
          <w:szCs w:val="32"/>
        </w:rPr>
        <w:t>对“十大攻坚战”进行全面分析，认真总结先进经验，着力发现存在的问题和弱项，攻坚克难补齐短板，确保集中攻坚取得实效，扎实推进工业行业安全生产治理体系和治理能力现代化，全面推动安全生产整体水平提升。</w:t>
      </w:r>
    </w:p>
    <w:p>
      <w:pPr>
        <w:pStyle w:val="23"/>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lang w:eastAsia="zh-CN"/>
        </w:rPr>
        <w:t>四</w:t>
      </w:r>
      <w:r>
        <w:rPr>
          <w:rFonts w:hint="eastAsia" w:ascii="黑体" w:hAnsi="黑体" w:eastAsia="黑体" w:cs="黑体"/>
          <w:color w:val="000000"/>
          <w:sz w:val="32"/>
          <w:szCs w:val="32"/>
        </w:rPr>
        <w:t>、保障措施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sz w:val="32"/>
          <w:szCs w:val="32"/>
          <w:lang w:val="zh-CN"/>
        </w:rPr>
        <w:t>（一）切实加强组织领导。</w:t>
      </w:r>
      <w:r>
        <w:rPr>
          <w:rFonts w:hint="eastAsia" w:ascii="仿宋_GB2312" w:hAnsi="仿宋_GB2312" w:eastAsia="仿宋_GB2312" w:cs="仿宋_GB2312"/>
          <w:color w:val="000000"/>
          <w:sz w:val="32"/>
          <w:szCs w:val="32"/>
        </w:rPr>
        <w:t xml:space="preserve">要从做到“两个维护”的政治高度，深刻认识开展安全生产专项整治“十大攻坚战”的重要意义，加强组织领导，勇于担当作为，决不能搞形式、走过场，搞虚假攻坚、文件攻坚、会议攻坚。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   </w:t>
      </w:r>
      <w:r>
        <w:rPr>
          <w:rFonts w:hint="eastAsia" w:ascii="楷体_GB2312" w:hAnsi="楷体_GB2312" w:eastAsia="楷体_GB2312" w:cs="楷体_GB2312"/>
          <w:b/>
          <w:bCs/>
          <w:sz w:val="32"/>
          <w:szCs w:val="32"/>
          <w:lang w:val="zh-CN"/>
        </w:rPr>
        <w:t>（二）切实强化责任落实。</w:t>
      </w:r>
      <w:r>
        <w:rPr>
          <w:rFonts w:hint="eastAsia" w:ascii="仿宋_GB2312" w:hAnsi="仿宋_GB2312" w:eastAsia="仿宋_GB2312" w:cs="仿宋_GB2312"/>
          <w:color w:val="000000"/>
          <w:sz w:val="32"/>
          <w:szCs w:val="32"/>
        </w:rPr>
        <w:t>要认真贯彻落实《江西省党政领导干部安全生产责任制实施细则》，压实领导干部安全生产责任，层层传导压力。在全面分析评估本行业领域可能存在的安全风险和隐患的基础上，完善集中攻坚方案，制定并落实有效攻坚措施。企业主要负责人要切实履行安全生产第一责任人责任，加强安全管理，组织开展自查自改，采取有效防范措施，严防各类安全事故发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sz w:val="32"/>
          <w:szCs w:val="32"/>
          <w:lang w:val="zh-CN"/>
        </w:rPr>
        <w:t>（三）切实抓好统筹协调。</w:t>
      </w:r>
      <w:r>
        <w:rPr>
          <w:rFonts w:hint="eastAsia" w:ascii="仿宋_GB2312" w:hAnsi="仿宋_GB2312" w:eastAsia="仿宋_GB2312" w:cs="仿宋_GB2312"/>
          <w:color w:val="000000"/>
          <w:sz w:val="32"/>
          <w:szCs w:val="32"/>
        </w:rPr>
        <w:t>要加强工信监管行业集中攻坚的调度、指导、服务，细化措施压实责任，按节点推进攻坚任务落地落实。严格按照“月调度、季通报、年总结”要求，及时调度上报进展情况。县安委会将把“十大攻坚战”列为安全生产专项巡查、综合督查、暗查暗访及年度考核的重点内容，各股室要加强统筹协调，配合开展相关工作，及时报送信息，确保三年行动集中攻坚阶段取得实效。</w:t>
      </w:r>
    </w:p>
    <w:p>
      <w:pPr>
        <w:pStyle w:val="2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p>
    <w:p>
      <w:pPr>
        <w:pStyle w:val="2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w w:val="95"/>
          <w:sz w:val="32"/>
          <w:szCs w:val="32"/>
        </w:rPr>
      </w:pPr>
      <w:r>
        <w:rPr>
          <w:rFonts w:hint="eastAsia" w:ascii="仿宋_GB2312" w:hAnsi="仿宋_GB2312" w:eastAsia="仿宋_GB2312" w:cs="仿宋_GB2312"/>
          <w:sz w:val="32"/>
          <w:szCs w:val="32"/>
        </w:rPr>
        <w:t>附件：</w:t>
      </w:r>
      <w:r>
        <w:rPr>
          <w:rFonts w:hint="eastAsia" w:ascii="宋体" w:hAnsi="宋体" w:eastAsia="宋体" w:cs="宋体"/>
          <w:color w:val="000000"/>
          <w:sz w:val="32"/>
          <w:szCs w:val="32"/>
        </w:rPr>
        <w:t>2</w:t>
      </w:r>
      <w:r>
        <w:rPr>
          <w:rFonts w:hint="eastAsia" w:ascii="宋体" w:hAnsi="宋体" w:eastAsia="宋体" w:cs="宋体"/>
          <w:w w:val="95"/>
          <w:sz w:val="32"/>
          <w:szCs w:val="32"/>
        </w:rPr>
        <w:t>021</w:t>
      </w:r>
      <w:r>
        <w:rPr>
          <w:rFonts w:hint="eastAsia" w:ascii="仿宋_GB2312" w:hAnsi="仿宋_GB2312" w:eastAsia="仿宋_GB2312" w:cs="仿宋_GB2312"/>
          <w:w w:val="95"/>
          <w:sz w:val="32"/>
          <w:szCs w:val="32"/>
        </w:rPr>
        <w:t>年</w:t>
      </w:r>
      <w:r>
        <w:rPr>
          <w:rFonts w:hint="eastAsia" w:ascii="仿宋_GB2312" w:hAnsi="仿宋_GB2312" w:eastAsia="仿宋_GB2312" w:cs="仿宋_GB2312"/>
          <w:color w:val="000000"/>
          <w:sz w:val="32"/>
          <w:szCs w:val="32"/>
        </w:rPr>
        <w:t>县工信行业</w:t>
      </w:r>
      <w:r>
        <w:rPr>
          <w:rFonts w:hint="eastAsia" w:ascii="仿宋_GB2312" w:hAnsi="仿宋_GB2312" w:eastAsia="仿宋_GB2312" w:cs="仿宋_GB2312"/>
          <w:w w:val="95"/>
          <w:sz w:val="32"/>
          <w:szCs w:val="32"/>
        </w:rPr>
        <w:t>三年行动集中攻坚</w:t>
      </w:r>
      <w:r>
        <w:rPr>
          <w:rFonts w:hint="eastAsia" w:ascii="仿宋_GB2312" w:hAnsi="仿宋_GB2312" w:eastAsia="仿宋_GB2312" w:cs="仿宋_GB2312"/>
          <w:w w:val="95"/>
          <w:sz w:val="32"/>
          <w:szCs w:val="32"/>
          <w:lang w:val="en-US" w:eastAsia="zh-CN"/>
        </w:rPr>
        <w:t>目</w:t>
      </w:r>
      <w:r>
        <w:rPr>
          <w:rFonts w:hint="eastAsia" w:ascii="仿宋_GB2312" w:hAnsi="仿宋_GB2312" w:eastAsia="仿宋_GB2312" w:cs="仿宋_GB2312"/>
          <w:w w:val="95"/>
          <w:sz w:val="32"/>
          <w:szCs w:val="32"/>
        </w:rPr>
        <w:t>标任务清单</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pStyle w:val="2"/>
        <w:ind w:firstLine="0" w:firstLineChars="0"/>
        <w:rPr>
          <w:rFonts w:hint="eastAsia" w:ascii="黑体" w:hAnsi="黑体" w:eastAsia="黑体" w:cs="黑体"/>
          <w:bCs/>
          <w:color w:val="000000"/>
          <w:kern w:val="0"/>
          <w:sz w:val="32"/>
          <w:szCs w:val="32"/>
          <w:lang w:bidi="ar"/>
        </w:rPr>
      </w:pPr>
    </w:p>
    <w:p>
      <w:pPr>
        <w:pStyle w:val="2"/>
        <w:ind w:firstLine="0" w:firstLineChars="0"/>
        <w:rPr>
          <w:rFonts w:hint="eastAsia" w:ascii="黑体" w:hAnsi="黑体" w:eastAsia="黑体" w:cs="黑体"/>
          <w:bCs/>
          <w:color w:val="000000"/>
          <w:kern w:val="0"/>
          <w:sz w:val="32"/>
          <w:szCs w:val="32"/>
          <w:lang w:bidi="ar"/>
        </w:rPr>
      </w:pPr>
    </w:p>
    <w:p>
      <w:pPr>
        <w:pStyle w:val="2"/>
        <w:ind w:firstLine="0" w:firstLineChars="0"/>
        <w:rPr>
          <w:rFonts w:hint="eastAsia" w:ascii="黑体" w:hAnsi="黑体" w:eastAsia="黑体" w:cs="黑体"/>
          <w:bCs/>
          <w:color w:val="000000"/>
          <w:kern w:val="0"/>
          <w:sz w:val="32"/>
          <w:szCs w:val="32"/>
          <w:lang w:bidi="ar"/>
        </w:rPr>
      </w:pPr>
    </w:p>
    <w:p>
      <w:pPr>
        <w:pStyle w:val="2"/>
        <w:ind w:firstLine="0" w:firstLineChars="0"/>
        <w:rPr>
          <w:rFonts w:hint="eastAsia" w:ascii="黑体" w:hAnsi="黑体" w:eastAsia="黑体" w:cs="黑体"/>
          <w:bCs/>
          <w:color w:val="000000"/>
          <w:kern w:val="0"/>
          <w:sz w:val="32"/>
          <w:szCs w:val="32"/>
          <w:lang w:bidi="ar"/>
        </w:rPr>
      </w:pPr>
    </w:p>
    <w:p>
      <w:pPr>
        <w:pStyle w:val="2"/>
        <w:ind w:firstLine="0" w:firstLineChars="0"/>
        <w:rPr>
          <w:rFonts w:hint="eastAsia" w:ascii="黑体" w:hAnsi="黑体" w:eastAsia="黑体" w:cs="黑体"/>
          <w:bCs/>
          <w:color w:val="000000"/>
          <w:kern w:val="0"/>
          <w:sz w:val="32"/>
          <w:szCs w:val="32"/>
          <w:lang w:bidi="ar"/>
        </w:rPr>
      </w:pPr>
    </w:p>
    <w:p>
      <w:pPr>
        <w:pStyle w:val="2"/>
        <w:ind w:firstLine="0" w:firstLineChars="0"/>
        <w:rPr>
          <w:rFonts w:hint="eastAsia" w:ascii="黑体" w:hAnsi="黑体" w:eastAsia="黑体" w:cs="黑体"/>
          <w:bCs/>
          <w:color w:val="000000"/>
          <w:kern w:val="0"/>
          <w:sz w:val="32"/>
          <w:szCs w:val="32"/>
          <w:lang w:bidi="ar"/>
        </w:rPr>
      </w:pPr>
    </w:p>
    <w:p>
      <w:pPr>
        <w:pStyle w:val="2"/>
        <w:ind w:firstLine="0" w:firstLineChars="0"/>
        <w:rPr>
          <w:rFonts w:hint="eastAsia" w:ascii="黑体" w:hAnsi="黑体" w:eastAsia="黑体" w:cs="黑体"/>
          <w:bCs/>
          <w:color w:val="000000"/>
          <w:kern w:val="0"/>
          <w:sz w:val="32"/>
          <w:szCs w:val="32"/>
          <w:lang w:bidi="ar"/>
        </w:rPr>
      </w:pPr>
    </w:p>
    <w:p>
      <w:pPr>
        <w:pStyle w:val="2"/>
        <w:ind w:firstLine="0" w:firstLineChars="0"/>
        <w:rPr>
          <w:rFonts w:hint="eastAsia" w:ascii="黑体" w:hAnsi="黑体" w:eastAsia="黑体" w:cs="黑体"/>
          <w:bCs/>
          <w:color w:val="000000"/>
          <w:kern w:val="0"/>
          <w:sz w:val="32"/>
          <w:szCs w:val="32"/>
          <w:lang w:bidi="ar"/>
        </w:rPr>
      </w:pPr>
    </w:p>
    <w:p>
      <w:pPr>
        <w:pStyle w:val="2"/>
        <w:ind w:firstLine="0" w:firstLineChars="0"/>
        <w:rPr>
          <w:rFonts w:hint="eastAsia" w:ascii="黑体" w:hAnsi="黑体" w:eastAsia="黑体" w:cs="黑体"/>
          <w:bCs/>
          <w:color w:val="000000"/>
          <w:kern w:val="0"/>
          <w:sz w:val="32"/>
          <w:szCs w:val="32"/>
          <w:lang w:bidi="ar"/>
        </w:rPr>
      </w:pPr>
    </w:p>
    <w:p>
      <w:pPr>
        <w:pStyle w:val="2"/>
        <w:ind w:firstLine="0" w:firstLineChars="0"/>
        <w:rPr>
          <w:rFonts w:hint="eastAsia" w:ascii="黑体" w:hAnsi="黑体" w:eastAsia="黑体" w:cs="黑体"/>
          <w:bCs/>
          <w:color w:val="000000"/>
          <w:kern w:val="0"/>
          <w:sz w:val="32"/>
          <w:szCs w:val="32"/>
          <w:lang w:bidi="ar"/>
        </w:rPr>
      </w:pPr>
    </w:p>
    <w:p>
      <w:pPr>
        <w:pStyle w:val="2"/>
        <w:ind w:firstLine="0" w:firstLineChars="0"/>
        <w:rPr>
          <w:rFonts w:hint="eastAsia" w:ascii="黑体" w:hAnsi="黑体" w:eastAsia="黑体" w:cs="黑体"/>
          <w:bCs/>
          <w:color w:val="000000"/>
          <w:kern w:val="0"/>
          <w:sz w:val="32"/>
          <w:szCs w:val="32"/>
          <w:lang w:bidi="ar"/>
        </w:rPr>
      </w:pPr>
    </w:p>
    <w:p>
      <w:pPr>
        <w:pStyle w:val="2"/>
        <w:ind w:firstLine="0" w:firstLineChars="0"/>
        <w:rPr>
          <w:rFonts w:hint="eastAsia" w:ascii="黑体" w:hAnsi="黑体" w:eastAsia="黑体" w:cs="黑体"/>
          <w:bCs/>
          <w:color w:val="000000"/>
          <w:kern w:val="0"/>
          <w:sz w:val="32"/>
          <w:szCs w:val="32"/>
          <w:lang w:bidi="ar"/>
        </w:rPr>
        <w:sectPr>
          <w:footerReference r:id="rId4" w:type="default"/>
          <w:pgSz w:w="11906" w:h="16838"/>
          <w:pgMar w:top="1440" w:right="1803" w:bottom="1440" w:left="1803" w:header="851" w:footer="992" w:gutter="0"/>
          <w:pgNumType w:fmt="numberInDash" w:start="2"/>
          <w:cols w:space="0" w:num="1"/>
          <w:rtlGutter w:val="0"/>
          <w:docGrid w:type="lines" w:linePitch="436" w:charSpace="0"/>
        </w:sectPr>
      </w:pPr>
    </w:p>
    <w:p>
      <w:pPr>
        <w:pStyle w:val="2"/>
        <w:ind w:firstLine="0" w:firstLineChars="0"/>
        <w:rPr>
          <w:rFonts w:hint="eastAsia" w:ascii="黑体" w:hAnsi="黑体" w:eastAsia="黑体" w:cs="黑体"/>
          <w:bCs/>
          <w:color w:val="000000"/>
          <w:kern w:val="0"/>
          <w:sz w:val="32"/>
          <w:szCs w:val="32"/>
          <w:lang w:bidi="ar"/>
        </w:rPr>
      </w:pPr>
      <w:r>
        <w:rPr>
          <w:rFonts w:hint="eastAsia" w:ascii="黑体" w:hAnsi="黑体" w:eastAsia="黑体" w:cs="黑体"/>
          <w:bCs/>
          <w:color w:val="000000"/>
          <w:kern w:val="0"/>
          <w:sz w:val="32"/>
          <w:szCs w:val="32"/>
          <w:lang w:bidi="ar"/>
        </w:rPr>
        <w:t>附件</w:t>
      </w:r>
    </w:p>
    <w:p>
      <w:pPr>
        <w:pStyle w:val="2"/>
        <w:ind w:firstLine="0" w:firstLineChars="0"/>
        <w:jc w:val="center"/>
        <w:rPr>
          <w:rFonts w:hint="eastAsia"/>
        </w:rPr>
      </w:pPr>
      <w:r>
        <w:rPr>
          <w:rFonts w:hint="eastAsia" w:ascii="方正小标宋简体" w:hAnsi="方正小标宋简体" w:eastAsia="方正小标宋简体" w:cs="方正小标宋简体"/>
          <w:bCs/>
          <w:color w:val="000000"/>
          <w:kern w:val="0"/>
          <w:sz w:val="36"/>
          <w:szCs w:val="36"/>
          <w:lang w:bidi="ar"/>
        </w:rPr>
        <w:t>2021年县工信行业三年行动集中攻坚</w:t>
      </w:r>
      <w:r>
        <w:rPr>
          <w:rFonts w:hint="eastAsia" w:ascii="方正小标宋简体" w:hAnsi="方正小标宋简体" w:eastAsia="方正小标宋简体" w:cs="方正小标宋简体"/>
          <w:bCs/>
          <w:color w:val="000000"/>
          <w:kern w:val="0"/>
          <w:sz w:val="36"/>
          <w:szCs w:val="36"/>
          <w:lang w:val="en-US" w:eastAsia="zh-CN" w:bidi="ar"/>
        </w:rPr>
        <w:t>目</w:t>
      </w:r>
      <w:r>
        <w:rPr>
          <w:rFonts w:hint="eastAsia" w:ascii="方正小标宋简体" w:hAnsi="方正小标宋简体" w:eastAsia="方正小标宋简体" w:cs="方正小标宋简体"/>
          <w:bCs/>
          <w:color w:val="000000"/>
          <w:kern w:val="0"/>
          <w:sz w:val="36"/>
          <w:szCs w:val="36"/>
          <w:lang w:bidi="ar"/>
        </w:rPr>
        <w:t>标任务清单</w:t>
      </w:r>
    </w:p>
    <w:tbl>
      <w:tblPr>
        <w:tblStyle w:val="12"/>
        <w:tblW w:w="0" w:type="auto"/>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263"/>
        <w:gridCol w:w="2010"/>
        <w:gridCol w:w="1927"/>
        <w:gridCol w:w="5497"/>
        <w:gridCol w:w="1199"/>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6" w:hRule="exact"/>
          <w:tblHeader/>
        </w:trPr>
        <w:tc>
          <w:tcPr>
            <w:tcW w:w="684" w:type="dxa"/>
            <w:noWrap w:val="0"/>
            <w:tcMar>
              <w:top w:w="15" w:type="dxa"/>
              <w:left w:w="15" w:type="dxa"/>
              <w:right w:w="15" w:type="dxa"/>
            </w:tcMar>
            <w:vAlign w:val="center"/>
          </w:tcPr>
          <w:p>
            <w:pPr>
              <w:widowControl/>
              <w:spacing w:line="300" w:lineRule="exact"/>
              <w:jc w:val="center"/>
              <w:textAlignment w:val="center"/>
              <w:rPr>
                <w:rFonts w:hint="eastAsia" w:ascii="黑体" w:hAnsi="黑体" w:eastAsia="黑体" w:cs="黑体"/>
                <w:b/>
                <w:color w:val="000000"/>
                <w:sz w:val="21"/>
                <w:szCs w:val="21"/>
              </w:rPr>
            </w:pPr>
            <w:r>
              <w:rPr>
                <w:rFonts w:hint="eastAsia" w:ascii="黑体" w:hAnsi="黑体" w:eastAsia="黑体" w:cs="黑体"/>
                <w:b/>
                <w:color w:val="000000"/>
                <w:kern w:val="0"/>
                <w:sz w:val="21"/>
                <w:szCs w:val="21"/>
                <w:lang w:bidi="ar"/>
              </w:rPr>
              <w:t>序号</w:t>
            </w:r>
          </w:p>
        </w:tc>
        <w:tc>
          <w:tcPr>
            <w:tcW w:w="1263" w:type="dxa"/>
            <w:noWrap w:val="0"/>
            <w:tcMar>
              <w:top w:w="15" w:type="dxa"/>
              <w:left w:w="15" w:type="dxa"/>
              <w:right w:w="15" w:type="dxa"/>
            </w:tcMar>
            <w:vAlign w:val="center"/>
          </w:tcPr>
          <w:p>
            <w:pPr>
              <w:widowControl/>
              <w:spacing w:line="300" w:lineRule="exact"/>
              <w:jc w:val="center"/>
              <w:textAlignment w:val="center"/>
              <w:rPr>
                <w:rFonts w:hint="eastAsia" w:ascii="黑体" w:hAnsi="黑体" w:eastAsia="黑体" w:cs="黑体"/>
                <w:b/>
                <w:color w:val="000000"/>
                <w:sz w:val="21"/>
                <w:szCs w:val="21"/>
              </w:rPr>
            </w:pPr>
            <w:r>
              <w:rPr>
                <w:rFonts w:hint="eastAsia" w:ascii="黑体" w:hAnsi="黑体" w:eastAsia="黑体" w:cs="黑体"/>
                <w:b/>
                <w:color w:val="000000"/>
                <w:kern w:val="0"/>
                <w:sz w:val="21"/>
                <w:szCs w:val="21"/>
                <w:lang w:bidi="ar"/>
              </w:rPr>
              <w:t>专题专项</w:t>
            </w:r>
          </w:p>
        </w:tc>
        <w:tc>
          <w:tcPr>
            <w:tcW w:w="2010" w:type="dxa"/>
            <w:noWrap w:val="0"/>
            <w:tcMar>
              <w:top w:w="15" w:type="dxa"/>
              <w:left w:w="15" w:type="dxa"/>
              <w:right w:w="15" w:type="dxa"/>
            </w:tcMar>
            <w:vAlign w:val="center"/>
          </w:tcPr>
          <w:p>
            <w:pPr>
              <w:widowControl/>
              <w:spacing w:line="300" w:lineRule="exact"/>
              <w:jc w:val="center"/>
              <w:textAlignment w:val="center"/>
              <w:rPr>
                <w:rFonts w:hint="eastAsia" w:ascii="黑体" w:hAnsi="黑体" w:eastAsia="黑体" w:cs="黑体"/>
                <w:b/>
                <w:color w:val="000000"/>
                <w:sz w:val="21"/>
                <w:szCs w:val="21"/>
              </w:rPr>
            </w:pPr>
            <w:r>
              <w:rPr>
                <w:rFonts w:hint="eastAsia" w:ascii="黑体" w:hAnsi="黑体" w:eastAsia="黑体" w:cs="黑体"/>
                <w:b/>
                <w:color w:val="000000"/>
                <w:kern w:val="0"/>
                <w:sz w:val="21"/>
                <w:szCs w:val="21"/>
                <w:lang w:bidi="ar"/>
              </w:rPr>
              <w:t>目标任务</w:t>
            </w:r>
          </w:p>
        </w:tc>
        <w:tc>
          <w:tcPr>
            <w:tcW w:w="1927" w:type="dxa"/>
            <w:noWrap w:val="0"/>
            <w:tcMar>
              <w:top w:w="15" w:type="dxa"/>
              <w:left w:w="15" w:type="dxa"/>
              <w:right w:w="15" w:type="dxa"/>
            </w:tcMar>
            <w:vAlign w:val="center"/>
          </w:tcPr>
          <w:p>
            <w:pPr>
              <w:widowControl/>
              <w:spacing w:line="300" w:lineRule="exact"/>
              <w:jc w:val="center"/>
              <w:textAlignment w:val="center"/>
              <w:rPr>
                <w:rFonts w:hint="eastAsia" w:ascii="黑体" w:hAnsi="黑体" w:eastAsia="黑体" w:cs="黑体"/>
                <w:b/>
                <w:color w:val="000000"/>
                <w:sz w:val="21"/>
                <w:szCs w:val="21"/>
              </w:rPr>
            </w:pPr>
            <w:r>
              <w:rPr>
                <w:rFonts w:hint="eastAsia" w:ascii="黑体" w:hAnsi="黑体" w:eastAsia="黑体" w:cs="黑体"/>
                <w:b/>
                <w:color w:val="000000"/>
                <w:kern w:val="0"/>
                <w:sz w:val="21"/>
                <w:szCs w:val="21"/>
                <w:lang w:bidi="ar"/>
              </w:rPr>
              <w:t>责任部门</w:t>
            </w:r>
          </w:p>
        </w:tc>
        <w:tc>
          <w:tcPr>
            <w:tcW w:w="5497" w:type="dxa"/>
            <w:noWrap w:val="0"/>
            <w:tcMar>
              <w:top w:w="15" w:type="dxa"/>
              <w:left w:w="15" w:type="dxa"/>
              <w:right w:w="15" w:type="dxa"/>
            </w:tcMar>
            <w:vAlign w:val="center"/>
          </w:tcPr>
          <w:p>
            <w:pPr>
              <w:widowControl/>
              <w:spacing w:line="300" w:lineRule="exact"/>
              <w:jc w:val="center"/>
              <w:textAlignment w:val="center"/>
              <w:rPr>
                <w:rFonts w:hint="eastAsia" w:ascii="黑体" w:hAnsi="黑体" w:eastAsia="黑体" w:cs="黑体"/>
                <w:b/>
                <w:color w:val="000000"/>
                <w:sz w:val="21"/>
                <w:szCs w:val="21"/>
              </w:rPr>
            </w:pPr>
            <w:r>
              <w:rPr>
                <w:rFonts w:hint="eastAsia" w:ascii="黑体" w:hAnsi="黑体" w:eastAsia="黑体" w:cs="黑体"/>
                <w:b/>
                <w:color w:val="000000"/>
                <w:kern w:val="0"/>
                <w:sz w:val="21"/>
                <w:szCs w:val="21"/>
                <w:lang w:bidi="ar"/>
              </w:rPr>
              <w:t>整治措施</w:t>
            </w:r>
          </w:p>
        </w:tc>
        <w:tc>
          <w:tcPr>
            <w:tcW w:w="1199" w:type="dxa"/>
            <w:noWrap w:val="0"/>
            <w:tcMar>
              <w:top w:w="15" w:type="dxa"/>
              <w:left w:w="15" w:type="dxa"/>
              <w:right w:w="15" w:type="dxa"/>
            </w:tcMar>
            <w:vAlign w:val="center"/>
          </w:tcPr>
          <w:p>
            <w:pPr>
              <w:widowControl/>
              <w:spacing w:line="300" w:lineRule="exact"/>
              <w:jc w:val="center"/>
              <w:textAlignment w:val="center"/>
              <w:rPr>
                <w:rFonts w:hint="eastAsia" w:ascii="黑体" w:hAnsi="黑体" w:eastAsia="黑体" w:cs="黑体"/>
                <w:b/>
                <w:color w:val="000000"/>
                <w:sz w:val="21"/>
                <w:szCs w:val="21"/>
              </w:rPr>
            </w:pPr>
            <w:r>
              <w:rPr>
                <w:rFonts w:hint="eastAsia" w:ascii="黑体" w:hAnsi="黑体" w:eastAsia="黑体" w:cs="黑体"/>
                <w:b/>
                <w:color w:val="000000"/>
                <w:kern w:val="0"/>
                <w:sz w:val="21"/>
                <w:szCs w:val="21"/>
                <w:lang w:bidi="ar"/>
              </w:rPr>
              <w:t>完成时限</w:t>
            </w:r>
          </w:p>
        </w:tc>
        <w:tc>
          <w:tcPr>
            <w:tcW w:w="1530" w:type="dxa"/>
            <w:noWrap w:val="0"/>
            <w:tcMar>
              <w:top w:w="15" w:type="dxa"/>
              <w:left w:w="15" w:type="dxa"/>
              <w:right w:w="15" w:type="dxa"/>
            </w:tcMar>
            <w:vAlign w:val="center"/>
          </w:tcPr>
          <w:p>
            <w:pPr>
              <w:widowControl/>
              <w:spacing w:line="300" w:lineRule="exact"/>
              <w:jc w:val="center"/>
              <w:textAlignment w:val="center"/>
              <w:rPr>
                <w:rFonts w:hint="eastAsia" w:ascii="黑体" w:hAnsi="黑体" w:eastAsia="黑体" w:cs="黑体"/>
                <w:b/>
                <w:color w:val="000000"/>
                <w:sz w:val="21"/>
                <w:szCs w:val="21"/>
              </w:rPr>
            </w:pPr>
            <w:r>
              <w:rPr>
                <w:rFonts w:hint="eastAsia" w:ascii="黑体" w:hAnsi="黑体" w:eastAsia="黑体" w:cs="黑体"/>
                <w:b/>
                <w:color w:val="000000"/>
                <w:kern w:val="0"/>
                <w:sz w:val="21"/>
                <w:szCs w:val="21"/>
                <w:lang w:bidi="ar"/>
              </w:rPr>
              <w:t>进展情况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4" w:hRule="atLeast"/>
        </w:trPr>
        <w:tc>
          <w:tcPr>
            <w:tcW w:w="684" w:type="dxa"/>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1263" w:type="dxa"/>
            <w:vMerge w:val="restart"/>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b/>
                <w:color w:val="000000"/>
                <w:sz w:val="18"/>
                <w:szCs w:val="18"/>
              </w:rPr>
            </w:pPr>
            <w:r>
              <w:rPr>
                <w:rFonts w:hint="eastAsia" w:ascii="宋体" w:hAnsi="宋体" w:eastAsia="宋体" w:cs="宋体"/>
                <w:b/>
                <w:color w:val="000000"/>
                <w:kern w:val="0"/>
                <w:sz w:val="18"/>
                <w:szCs w:val="18"/>
                <w:lang w:bidi="ar"/>
              </w:rPr>
              <w:t>学习宣传贯彻习近平总书记关于安全生产重要论述专题</w:t>
            </w:r>
          </w:p>
        </w:tc>
        <w:tc>
          <w:tcPr>
            <w:tcW w:w="2010"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深入学习习近平总书记关于安全生产重要论述</w:t>
            </w:r>
          </w:p>
        </w:tc>
        <w:tc>
          <w:tcPr>
            <w:tcW w:w="1927" w:type="dxa"/>
            <w:noWrap w:val="0"/>
            <w:tcMar>
              <w:top w:w="15" w:type="dxa"/>
              <w:left w:w="15" w:type="dxa"/>
              <w:right w:w="15" w:type="dxa"/>
            </w:tcMar>
            <w:vAlign w:val="center"/>
          </w:tcPr>
          <w:p>
            <w:pPr>
              <w:widowControl/>
              <w:spacing w:line="260" w:lineRule="exact"/>
              <w:jc w:val="left"/>
              <w:textAlignment w:val="center"/>
              <w:rPr>
                <w:rFonts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各股室、信息中心</w:t>
            </w:r>
          </w:p>
        </w:tc>
        <w:tc>
          <w:tcPr>
            <w:tcW w:w="5497" w:type="dxa"/>
            <w:noWrap w:val="0"/>
            <w:tcMar>
              <w:top w:w="15" w:type="dxa"/>
              <w:left w:w="15" w:type="dxa"/>
              <w:right w:w="15" w:type="dxa"/>
            </w:tcMar>
            <w:vAlign w:val="center"/>
          </w:tcPr>
          <w:p>
            <w:pPr>
              <w:widowControl/>
              <w:spacing w:line="260" w:lineRule="exact"/>
              <w:ind w:firstLine="360" w:firstLineChars="200"/>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把学习贯彻习近平总书记关于安全生产重要论述纳入党委（党组）理论</w:t>
            </w:r>
            <w:r>
              <w:rPr>
                <w:rFonts w:hint="eastAsia" w:ascii="仿宋_GB2312" w:hAnsi="仿宋_GB2312" w:cs="仿宋_GB2312"/>
                <w:color w:val="000000"/>
                <w:kern w:val="0"/>
                <w:sz w:val="18"/>
                <w:szCs w:val="18"/>
                <w:lang w:eastAsia="zh-CN" w:bidi="ar"/>
              </w:rPr>
              <w:t>学习</w:t>
            </w:r>
            <w:r>
              <w:rPr>
                <w:rFonts w:hint="eastAsia" w:ascii="仿宋_GB2312" w:hAnsi="仿宋_GB2312" w:cs="仿宋_GB2312"/>
                <w:color w:val="000000"/>
                <w:kern w:val="0"/>
                <w:sz w:val="18"/>
                <w:szCs w:val="18"/>
                <w:lang w:bidi="ar"/>
              </w:rPr>
              <w:t>中心组学习内容、宣传工作重点。</w:t>
            </w:r>
            <w:bookmarkStart w:id="0" w:name="_GoBack"/>
            <w:bookmarkEnd w:id="0"/>
          </w:p>
        </w:tc>
        <w:tc>
          <w:tcPr>
            <w:tcW w:w="1199" w:type="dxa"/>
            <w:noWrap w:val="0"/>
            <w:tcMar>
              <w:top w:w="15" w:type="dxa"/>
              <w:left w:w="15" w:type="dxa"/>
              <w:right w:w="15" w:type="dxa"/>
            </w:tcMar>
            <w:vAlign w:val="center"/>
          </w:tcPr>
          <w:p>
            <w:pPr>
              <w:widowControl/>
              <w:spacing w:line="260" w:lineRule="exact"/>
              <w:jc w:val="center"/>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2021年并长期坚持</w:t>
            </w:r>
          </w:p>
        </w:tc>
        <w:tc>
          <w:tcPr>
            <w:tcW w:w="1530" w:type="dxa"/>
            <w:noWrap w:val="0"/>
            <w:tcMar>
              <w:top w:w="15" w:type="dxa"/>
              <w:left w:w="15" w:type="dxa"/>
              <w:right w:w="15" w:type="dxa"/>
            </w:tcMar>
            <w:vAlign w:val="center"/>
          </w:tcPr>
          <w:p>
            <w:pPr>
              <w:spacing w:line="260" w:lineRule="exact"/>
              <w:jc w:val="center"/>
              <w:rPr>
                <w:rFonts w:hint="eastAsia" w:ascii="仿宋_GB2312" w:hAnsi="宋体"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87" w:hRule="atLeast"/>
        </w:trPr>
        <w:tc>
          <w:tcPr>
            <w:tcW w:w="684" w:type="dxa"/>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val="en-US" w:eastAsia="zh-CN" w:bidi="ar"/>
              </w:rPr>
              <w:t>2</w:t>
            </w:r>
          </w:p>
        </w:tc>
        <w:tc>
          <w:tcPr>
            <w:tcW w:w="1263" w:type="dxa"/>
            <w:vMerge w:val="continue"/>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b/>
                <w:color w:val="000000"/>
                <w:kern w:val="0"/>
                <w:sz w:val="18"/>
                <w:szCs w:val="18"/>
                <w:lang w:bidi="ar"/>
              </w:rPr>
            </w:pPr>
          </w:p>
        </w:tc>
        <w:tc>
          <w:tcPr>
            <w:tcW w:w="2010" w:type="dxa"/>
            <w:noWrap w:val="0"/>
            <w:tcMar>
              <w:top w:w="15" w:type="dxa"/>
              <w:left w:w="15" w:type="dxa"/>
              <w:right w:w="15" w:type="dxa"/>
            </w:tcMar>
            <w:vAlign w:val="center"/>
          </w:tcPr>
          <w:p>
            <w:pPr>
              <w:widowControl/>
              <w:spacing w:line="260" w:lineRule="exac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开展安全宣传教育攻坚战</w:t>
            </w:r>
          </w:p>
        </w:tc>
        <w:tc>
          <w:tcPr>
            <w:tcW w:w="1927"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各股室、信息中心</w:t>
            </w:r>
          </w:p>
        </w:tc>
        <w:tc>
          <w:tcPr>
            <w:tcW w:w="5497" w:type="dxa"/>
            <w:noWrap w:val="0"/>
            <w:tcMar>
              <w:top w:w="15" w:type="dxa"/>
              <w:left w:w="15" w:type="dxa"/>
              <w:right w:w="15" w:type="dxa"/>
            </w:tcMar>
            <w:vAlign w:val="center"/>
          </w:tcPr>
          <w:p>
            <w:pPr>
              <w:widowControl/>
              <w:spacing w:line="220" w:lineRule="exact"/>
              <w:ind w:firstLine="360" w:firstLineChars="200"/>
              <w:jc w:val="left"/>
              <w:textAlignment w:val="center"/>
              <w:rPr>
                <w:rFonts w:hint="eastAsia" w:ascii="仿宋_GB2312" w:hAnsi="仿宋_GB2312" w:cs="仿宋_GB2312"/>
                <w:kern w:val="0"/>
                <w:sz w:val="18"/>
                <w:szCs w:val="18"/>
                <w:lang w:bidi="ar"/>
              </w:rPr>
            </w:pPr>
            <w:r>
              <w:rPr>
                <w:rFonts w:hint="eastAsia" w:ascii="仿宋_GB2312" w:hAnsi="仿宋_GB2312" w:cs="仿宋_GB2312"/>
                <w:color w:val="000000"/>
                <w:kern w:val="0"/>
                <w:sz w:val="18"/>
                <w:szCs w:val="18"/>
                <w:lang w:bidi="ar"/>
              </w:rPr>
              <w:t>１.大力弘扬安全第一、生命至上理念，以“互联网+”、“5·12”全国防灾减灾日、“安全生产月”、“安全生产万里行”、“119消防宣传日”</w:t>
            </w:r>
            <w:r>
              <w:rPr>
                <w:rFonts w:hint="eastAsia" w:ascii="仿宋_GB2312" w:hAnsi="仿宋_GB2312" w:cs="仿宋_GB2312"/>
                <w:kern w:val="0"/>
                <w:sz w:val="18"/>
                <w:szCs w:val="18"/>
                <w:lang w:bidi="ar"/>
              </w:rPr>
              <w:t>等平台或活动为载体，广泛开展安全应急科普宣教活动。</w:t>
            </w:r>
          </w:p>
          <w:p>
            <w:pPr>
              <w:widowControl/>
              <w:spacing w:line="220" w:lineRule="exact"/>
              <w:ind w:firstLine="360" w:firstLineChars="200"/>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２.积极推进安全宣传进企业、进家庭，持续开展应急科普宣传，在全社会营造“人人讲安全、人人会安全、人人要安全”的浓厚安全文化建设氛围，提升全民安全生产和科学应急意识，真正实现以文化促安全，以安全促发展。</w:t>
            </w:r>
          </w:p>
        </w:tc>
        <w:tc>
          <w:tcPr>
            <w:tcW w:w="1199" w:type="dxa"/>
            <w:noWrap w:val="0"/>
            <w:tcMar>
              <w:top w:w="15" w:type="dxa"/>
              <w:left w:w="15" w:type="dxa"/>
              <w:right w:w="15" w:type="dxa"/>
            </w:tcMar>
            <w:vAlign w:val="center"/>
          </w:tcPr>
          <w:p>
            <w:pPr>
              <w:widowControl/>
              <w:spacing w:line="260" w:lineRule="exact"/>
              <w:jc w:val="center"/>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2021年并长期坚持</w:t>
            </w:r>
          </w:p>
        </w:tc>
        <w:tc>
          <w:tcPr>
            <w:tcW w:w="1530" w:type="dxa"/>
            <w:noWrap w:val="0"/>
            <w:tcMar>
              <w:top w:w="15" w:type="dxa"/>
              <w:left w:w="15" w:type="dxa"/>
              <w:right w:w="15" w:type="dxa"/>
            </w:tcMar>
            <w:vAlign w:val="center"/>
          </w:tcPr>
          <w:p>
            <w:pPr>
              <w:spacing w:line="260" w:lineRule="exact"/>
              <w:jc w:val="center"/>
              <w:rPr>
                <w:rFonts w:hint="eastAsia" w:ascii="仿宋_GB2312" w:hAnsi="宋体"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8" w:hRule="exact"/>
        </w:trPr>
        <w:tc>
          <w:tcPr>
            <w:tcW w:w="684" w:type="dxa"/>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val="en-US" w:eastAsia="zh-CN" w:bidi="ar"/>
              </w:rPr>
              <w:t>3</w:t>
            </w:r>
          </w:p>
        </w:tc>
        <w:tc>
          <w:tcPr>
            <w:tcW w:w="1263" w:type="dxa"/>
            <w:vMerge w:val="restart"/>
            <w:noWrap w:val="0"/>
            <w:tcMar>
              <w:top w:w="15" w:type="dxa"/>
              <w:left w:w="15" w:type="dxa"/>
              <w:right w:w="15" w:type="dxa"/>
            </w:tcMar>
            <w:vAlign w:val="center"/>
          </w:tcPr>
          <w:p>
            <w:pPr>
              <w:spacing w:line="260" w:lineRule="exact"/>
              <w:jc w:val="center"/>
              <w:rPr>
                <w:rFonts w:hint="eastAsia" w:ascii="宋体" w:hAnsi="宋体" w:eastAsia="宋体" w:cs="宋体"/>
                <w:b/>
                <w:color w:val="000000"/>
                <w:sz w:val="18"/>
                <w:szCs w:val="18"/>
              </w:rPr>
            </w:pPr>
            <w:r>
              <w:rPr>
                <w:rFonts w:hint="eastAsia" w:ascii="宋体" w:hAnsi="宋体" w:eastAsia="宋体" w:cs="宋体"/>
                <w:b/>
                <w:color w:val="000000"/>
                <w:kern w:val="0"/>
                <w:sz w:val="18"/>
                <w:szCs w:val="18"/>
                <w:lang w:bidi="ar"/>
              </w:rPr>
              <w:t>企业安全生产主体责任三年行动专题</w:t>
            </w:r>
          </w:p>
        </w:tc>
        <w:tc>
          <w:tcPr>
            <w:tcW w:w="2010"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sz w:val="18"/>
                <w:szCs w:val="18"/>
              </w:rPr>
            </w:pPr>
            <w:r>
              <w:rPr>
                <w:rFonts w:hint="eastAsia" w:ascii="仿宋_GB2312" w:hAnsi="仿宋_GB2312" w:cs="仿宋_GB2312"/>
                <w:kern w:val="0"/>
                <w:sz w:val="18"/>
                <w:szCs w:val="18"/>
                <w:lang w:bidi="ar"/>
              </w:rPr>
              <w:t>开展民爆和混凝土行业</w:t>
            </w:r>
            <w:r>
              <w:rPr>
                <w:rFonts w:ascii="仿宋_GB2312" w:hAnsi="仿宋_GB2312" w:cs="仿宋_GB2312"/>
                <w:kern w:val="0"/>
                <w:sz w:val="18"/>
                <w:szCs w:val="18"/>
                <w:lang w:bidi="ar"/>
              </w:rPr>
              <w:t>重大安全风险管控“回头看”</w:t>
            </w:r>
            <w:r>
              <w:rPr>
                <w:rFonts w:hint="eastAsia" w:ascii="仿宋_GB2312" w:hAnsi="仿宋_GB2312" w:cs="仿宋_GB2312"/>
                <w:kern w:val="0"/>
                <w:sz w:val="18"/>
                <w:szCs w:val="18"/>
                <w:lang w:bidi="ar"/>
              </w:rPr>
              <w:t>攻坚战</w:t>
            </w:r>
          </w:p>
        </w:tc>
        <w:tc>
          <w:tcPr>
            <w:tcW w:w="1927"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sz w:val="18"/>
                <w:szCs w:val="18"/>
              </w:rPr>
            </w:pPr>
            <w:r>
              <w:rPr>
                <w:rFonts w:hint="eastAsia" w:ascii="仿宋_GB2312" w:hAnsi="仿宋_GB2312" w:cs="仿宋_GB2312"/>
                <w:color w:val="000000"/>
                <w:kern w:val="0"/>
                <w:sz w:val="18"/>
                <w:szCs w:val="18"/>
                <w:lang w:bidi="ar"/>
              </w:rPr>
              <w:t>投资规划股、经济运行股、综合指导股、资源利用股、墙散办</w:t>
            </w:r>
          </w:p>
        </w:tc>
        <w:tc>
          <w:tcPr>
            <w:tcW w:w="5497" w:type="dxa"/>
            <w:noWrap w:val="0"/>
            <w:tcMar>
              <w:top w:w="15" w:type="dxa"/>
              <w:left w:w="15" w:type="dxa"/>
              <w:right w:w="15" w:type="dxa"/>
            </w:tcMar>
            <w:vAlign w:val="center"/>
          </w:tcPr>
          <w:p>
            <w:pPr>
              <w:widowControl/>
              <w:spacing w:line="240" w:lineRule="exact"/>
              <w:ind w:firstLine="360" w:firstLineChars="200"/>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1.指导监管企业梳理、辨识管控的重大安全风险，逐一进行“回头看”，健全台账，完善“三清单”，确保管控到位。</w:t>
            </w:r>
          </w:p>
          <w:p>
            <w:pPr>
              <w:widowControl/>
              <w:spacing w:line="240" w:lineRule="exact"/>
              <w:ind w:firstLine="360" w:firstLineChars="200"/>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2.按照安全风险辨识规范，横向到边、纵向到底，全面辨识安全风险，对排查辨识的安全风险，采取有效的防范、管控措施，确保安全风险可防、可控。</w:t>
            </w:r>
          </w:p>
          <w:p>
            <w:pPr>
              <w:widowControl/>
              <w:spacing w:line="240" w:lineRule="exact"/>
              <w:ind w:firstLine="360" w:firstLineChars="200"/>
              <w:jc w:val="left"/>
              <w:textAlignment w:val="center"/>
            </w:pPr>
            <w:r>
              <w:rPr>
                <w:rFonts w:hint="eastAsia" w:ascii="仿宋_GB2312" w:hAnsi="仿宋_GB2312" w:cs="仿宋_GB2312"/>
                <w:kern w:val="0"/>
                <w:sz w:val="18"/>
                <w:szCs w:val="18"/>
                <w:lang w:bidi="ar"/>
              </w:rPr>
              <w:t>3.严格民爆物品管理。强化民爆物品销售、储存安全监管，确保民爆行业安全运行。</w:t>
            </w:r>
          </w:p>
        </w:tc>
        <w:tc>
          <w:tcPr>
            <w:tcW w:w="1199"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sz w:val="18"/>
                <w:szCs w:val="18"/>
              </w:rPr>
            </w:pPr>
            <w:r>
              <w:rPr>
                <w:rFonts w:hint="eastAsia" w:ascii="仿宋_GB2312" w:hAnsi="仿宋_GB2312" w:cs="仿宋_GB2312"/>
                <w:color w:val="000000"/>
                <w:kern w:val="0"/>
                <w:sz w:val="18"/>
                <w:szCs w:val="18"/>
                <w:lang w:bidi="ar"/>
              </w:rPr>
              <w:t>2021年并长期坚持</w:t>
            </w:r>
          </w:p>
        </w:tc>
        <w:tc>
          <w:tcPr>
            <w:tcW w:w="1530" w:type="dxa"/>
            <w:noWrap w:val="0"/>
            <w:tcMar>
              <w:top w:w="15" w:type="dxa"/>
              <w:left w:w="15" w:type="dxa"/>
              <w:right w:w="15" w:type="dxa"/>
            </w:tcMar>
            <w:vAlign w:val="center"/>
          </w:tcPr>
          <w:p>
            <w:pPr>
              <w:spacing w:line="260" w:lineRule="exact"/>
              <w:jc w:val="center"/>
              <w:rPr>
                <w:rFonts w:hint="eastAsia" w:ascii="仿宋_GB2312" w:hAnsi="宋体"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84" w:type="dxa"/>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color w:val="000000"/>
                <w:sz w:val="18"/>
                <w:szCs w:val="18"/>
                <w:lang w:eastAsia="zh-CN"/>
              </w:rPr>
            </w:pPr>
            <w:r>
              <w:rPr>
                <w:rFonts w:hint="eastAsia" w:ascii="宋体" w:hAnsi="宋体" w:eastAsia="宋体" w:cs="宋体"/>
                <w:color w:val="000000"/>
                <w:kern w:val="0"/>
                <w:sz w:val="18"/>
                <w:szCs w:val="18"/>
                <w:lang w:val="en-US" w:eastAsia="zh-CN" w:bidi="ar"/>
              </w:rPr>
              <w:t>4</w:t>
            </w:r>
          </w:p>
        </w:tc>
        <w:tc>
          <w:tcPr>
            <w:tcW w:w="1263" w:type="dxa"/>
            <w:vMerge w:val="continue"/>
            <w:noWrap w:val="0"/>
            <w:tcMar>
              <w:top w:w="15" w:type="dxa"/>
              <w:left w:w="15" w:type="dxa"/>
              <w:right w:w="15" w:type="dxa"/>
            </w:tcMar>
            <w:vAlign w:val="center"/>
          </w:tcPr>
          <w:p>
            <w:pPr>
              <w:spacing w:line="260" w:lineRule="exact"/>
              <w:jc w:val="center"/>
              <w:rPr>
                <w:rFonts w:hint="eastAsia" w:ascii="宋体" w:hAnsi="宋体" w:eastAsia="宋体" w:cs="宋体"/>
                <w:b/>
                <w:color w:val="000000"/>
                <w:sz w:val="18"/>
                <w:szCs w:val="18"/>
              </w:rPr>
            </w:pPr>
          </w:p>
        </w:tc>
        <w:tc>
          <w:tcPr>
            <w:tcW w:w="2010"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sz w:val="18"/>
                <w:szCs w:val="18"/>
              </w:rPr>
            </w:pPr>
            <w:r>
              <w:rPr>
                <w:rFonts w:hint="eastAsia" w:ascii="仿宋_GB2312" w:hAnsi="仿宋_GB2312" w:cs="仿宋_GB2312"/>
                <w:color w:val="000000"/>
                <w:kern w:val="0"/>
                <w:sz w:val="18"/>
                <w:szCs w:val="18"/>
                <w:lang w:bidi="ar"/>
              </w:rPr>
              <w:t>开展监管行业企业安全隐患排查治理“清零”攻坚</w:t>
            </w:r>
          </w:p>
        </w:tc>
        <w:tc>
          <w:tcPr>
            <w:tcW w:w="1927"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sz w:val="18"/>
                <w:szCs w:val="18"/>
              </w:rPr>
            </w:pPr>
            <w:r>
              <w:rPr>
                <w:rFonts w:hint="eastAsia" w:ascii="仿宋_GB2312" w:hAnsi="仿宋_GB2312" w:cs="仿宋_GB2312"/>
                <w:color w:val="000000"/>
                <w:kern w:val="0"/>
                <w:sz w:val="18"/>
                <w:szCs w:val="18"/>
                <w:lang w:bidi="ar"/>
              </w:rPr>
              <w:t>投资规划股、经济运行股、综合指导股、资源利用股、墙散办</w:t>
            </w:r>
          </w:p>
        </w:tc>
        <w:tc>
          <w:tcPr>
            <w:tcW w:w="5497" w:type="dxa"/>
            <w:noWrap w:val="0"/>
            <w:tcMar>
              <w:top w:w="15" w:type="dxa"/>
              <w:left w:w="15" w:type="dxa"/>
              <w:right w:w="15" w:type="dxa"/>
            </w:tcMar>
            <w:vAlign w:val="center"/>
          </w:tcPr>
          <w:p>
            <w:pPr>
              <w:widowControl/>
              <w:spacing w:line="240" w:lineRule="exact"/>
              <w:ind w:firstLine="360" w:firstLineChars="200"/>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1.开展监管行业企业安全隐患大排查大整治，建立健全隐患台账，实行“闭环”管理。</w:t>
            </w:r>
          </w:p>
          <w:p>
            <w:pPr>
              <w:widowControl/>
              <w:spacing w:line="240" w:lineRule="exact"/>
              <w:ind w:firstLine="360" w:firstLineChars="200"/>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2.指导帮助企业排查整治隐患；加大检查督导，切实推进隐患闭环“清零”。</w:t>
            </w:r>
          </w:p>
          <w:p>
            <w:pPr>
              <w:widowControl/>
              <w:spacing w:line="240" w:lineRule="exact"/>
              <w:ind w:firstLine="360" w:firstLineChars="200"/>
              <w:jc w:val="left"/>
              <w:textAlignment w:val="center"/>
              <w:rPr>
                <w:rFonts w:hint="eastAsia" w:ascii="仿宋_GB2312" w:hAnsi="仿宋_GB2312" w:cs="仿宋_GB2312"/>
                <w:color w:val="000000"/>
                <w:sz w:val="18"/>
                <w:szCs w:val="18"/>
              </w:rPr>
            </w:pPr>
            <w:r>
              <w:rPr>
                <w:rFonts w:hint="eastAsia" w:ascii="仿宋_GB2312" w:hAnsi="仿宋_GB2312" w:cs="仿宋_GB2312"/>
                <w:color w:val="000000"/>
                <w:kern w:val="0"/>
                <w:sz w:val="18"/>
                <w:szCs w:val="18"/>
                <w:lang w:bidi="ar"/>
              </w:rPr>
              <w:t>3.要求企业自查、各级检查发现的一般隐患，立即整改；重大隐患按照“五到位”要求，限期整改到位；对无法整改或到期整改不到位的，</w:t>
            </w:r>
            <w:r>
              <w:rPr>
                <w:rFonts w:hint="eastAsia" w:ascii="仿宋_GB2312" w:hAnsi="仿宋_GB2312"/>
                <w:sz w:val="18"/>
                <w:szCs w:val="18"/>
              </w:rPr>
              <w:t>报同级执法部门建议给予关停处罚</w:t>
            </w:r>
            <w:r>
              <w:rPr>
                <w:rFonts w:hint="eastAsia" w:ascii="仿宋_GB2312" w:hAnsi="仿宋_GB2312" w:cs="仿宋_GB2312"/>
                <w:color w:val="000000"/>
                <w:kern w:val="0"/>
                <w:sz w:val="18"/>
                <w:szCs w:val="18"/>
                <w:lang w:bidi="ar"/>
              </w:rPr>
              <w:t>。</w:t>
            </w:r>
          </w:p>
        </w:tc>
        <w:tc>
          <w:tcPr>
            <w:tcW w:w="1199"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sz w:val="18"/>
                <w:szCs w:val="18"/>
              </w:rPr>
            </w:pPr>
            <w:r>
              <w:rPr>
                <w:rFonts w:hint="eastAsia" w:ascii="仿宋_GB2312" w:hAnsi="仿宋_GB2312" w:cs="仿宋_GB2312"/>
                <w:color w:val="000000"/>
                <w:kern w:val="0"/>
                <w:sz w:val="18"/>
                <w:szCs w:val="18"/>
                <w:lang w:bidi="ar"/>
              </w:rPr>
              <w:t>2021年并长期坚持</w:t>
            </w:r>
          </w:p>
        </w:tc>
        <w:tc>
          <w:tcPr>
            <w:tcW w:w="1530" w:type="dxa"/>
            <w:noWrap w:val="0"/>
            <w:tcMar>
              <w:top w:w="15" w:type="dxa"/>
              <w:left w:w="15" w:type="dxa"/>
              <w:right w:w="15" w:type="dxa"/>
            </w:tcMar>
            <w:vAlign w:val="center"/>
          </w:tcPr>
          <w:p>
            <w:pPr>
              <w:spacing w:line="260" w:lineRule="exact"/>
              <w:jc w:val="center"/>
              <w:rPr>
                <w:rFonts w:hint="eastAsia" w:ascii="仿宋_GB2312" w:hAnsi="宋体"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trPr>
        <w:tc>
          <w:tcPr>
            <w:tcW w:w="684" w:type="dxa"/>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val="en-US" w:eastAsia="zh-CN" w:bidi="ar"/>
              </w:rPr>
              <w:t>5</w:t>
            </w:r>
          </w:p>
        </w:tc>
        <w:tc>
          <w:tcPr>
            <w:tcW w:w="1263" w:type="dxa"/>
            <w:vMerge w:val="continue"/>
            <w:noWrap w:val="0"/>
            <w:tcMar>
              <w:top w:w="15" w:type="dxa"/>
              <w:left w:w="15" w:type="dxa"/>
              <w:right w:w="15" w:type="dxa"/>
            </w:tcMar>
            <w:vAlign w:val="center"/>
          </w:tcPr>
          <w:p>
            <w:pPr>
              <w:spacing w:line="260" w:lineRule="exact"/>
              <w:jc w:val="center"/>
              <w:rPr>
                <w:rFonts w:hint="eastAsia" w:ascii="宋体" w:hAnsi="宋体" w:eastAsia="宋体" w:cs="宋体"/>
                <w:b/>
                <w:color w:val="000000"/>
                <w:sz w:val="18"/>
                <w:szCs w:val="18"/>
              </w:rPr>
            </w:pPr>
          </w:p>
        </w:tc>
        <w:tc>
          <w:tcPr>
            <w:tcW w:w="2010"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开展</w:t>
            </w:r>
            <w:r>
              <w:rPr>
                <w:rFonts w:hint="eastAsia" w:ascii="仿宋_GB2312" w:hAnsi="仿宋_GB2312" w:cs="仿宋_GB2312"/>
                <w:sz w:val="18"/>
                <w:szCs w:val="18"/>
              </w:rPr>
              <w:t>依法依规推动落后产能退出</w:t>
            </w:r>
            <w:r>
              <w:rPr>
                <w:rFonts w:hint="eastAsia" w:ascii="仿宋_GB2312" w:hAnsi="仿宋_GB2312" w:cs="仿宋_GB2312"/>
                <w:color w:val="000000"/>
                <w:kern w:val="0"/>
                <w:sz w:val="18"/>
                <w:szCs w:val="18"/>
                <w:lang w:bidi="ar"/>
              </w:rPr>
              <w:t>攻坚战</w:t>
            </w:r>
          </w:p>
        </w:tc>
        <w:tc>
          <w:tcPr>
            <w:tcW w:w="1927"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投资规划股、资源利用股</w:t>
            </w:r>
          </w:p>
        </w:tc>
        <w:tc>
          <w:tcPr>
            <w:tcW w:w="5497" w:type="dxa"/>
            <w:noWrap w:val="0"/>
            <w:tcMar>
              <w:top w:w="15" w:type="dxa"/>
              <w:left w:w="15" w:type="dxa"/>
              <w:right w:w="15" w:type="dxa"/>
            </w:tcMar>
            <w:vAlign w:val="center"/>
          </w:tcPr>
          <w:p>
            <w:pPr>
              <w:widowControl/>
              <w:spacing w:line="240" w:lineRule="exact"/>
              <w:ind w:firstLine="360" w:firstLineChars="200"/>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1.深入推进源头治理，</w:t>
            </w:r>
            <w:r>
              <w:rPr>
                <w:rFonts w:hint="eastAsia"/>
                <w:sz w:val="18"/>
                <w:szCs w:val="18"/>
              </w:rPr>
              <w:t>以水泥行业领域为重点</w:t>
            </w:r>
            <w:r>
              <w:rPr>
                <w:rFonts w:hint="eastAsia" w:ascii="仿宋_GB2312" w:hAnsi="仿宋_GB2312" w:cs="仿宋_GB2312"/>
                <w:color w:val="000000"/>
                <w:kern w:val="0"/>
                <w:sz w:val="18"/>
                <w:szCs w:val="18"/>
                <w:lang w:bidi="ar"/>
              </w:rPr>
              <w:t>，对达不到相关安全标准和淘汰类产能、工艺装备进行全面摸底，并依法依规逐步淘汰、关闭和取缔，推动落后产能退出，促进全市安全生产整体水平提升。</w:t>
            </w:r>
          </w:p>
          <w:p>
            <w:pPr>
              <w:widowControl/>
              <w:spacing w:line="240" w:lineRule="exact"/>
              <w:ind w:firstLine="360" w:firstLineChars="200"/>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2.采取有效措施，巩固工作成果，严防淘汰落后产能、工艺、设备和关闭企业死灰复燃。</w:t>
            </w:r>
          </w:p>
        </w:tc>
        <w:tc>
          <w:tcPr>
            <w:tcW w:w="1199"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2021年并长期坚持</w:t>
            </w:r>
          </w:p>
        </w:tc>
        <w:tc>
          <w:tcPr>
            <w:tcW w:w="1530" w:type="dxa"/>
            <w:noWrap w:val="0"/>
            <w:tcMar>
              <w:top w:w="15" w:type="dxa"/>
              <w:left w:w="15" w:type="dxa"/>
              <w:right w:w="15" w:type="dxa"/>
            </w:tcMar>
            <w:vAlign w:val="center"/>
          </w:tcPr>
          <w:p>
            <w:pPr>
              <w:spacing w:line="260" w:lineRule="exact"/>
              <w:jc w:val="center"/>
              <w:rPr>
                <w:rFonts w:hint="eastAsia" w:ascii="仿宋_GB2312" w:hAnsi="宋体"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trPr>
        <w:tc>
          <w:tcPr>
            <w:tcW w:w="684" w:type="dxa"/>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val="en-US" w:eastAsia="zh-CN" w:bidi="ar"/>
              </w:rPr>
              <w:t>6</w:t>
            </w:r>
          </w:p>
        </w:tc>
        <w:tc>
          <w:tcPr>
            <w:tcW w:w="1263" w:type="dxa"/>
            <w:vMerge w:val="continue"/>
            <w:noWrap w:val="0"/>
            <w:tcMar>
              <w:top w:w="15" w:type="dxa"/>
              <w:left w:w="15" w:type="dxa"/>
              <w:right w:w="15" w:type="dxa"/>
            </w:tcMar>
            <w:vAlign w:val="center"/>
          </w:tcPr>
          <w:p>
            <w:pPr>
              <w:spacing w:line="260" w:lineRule="exact"/>
              <w:jc w:val="center"/>
              <w:rPr>
                <w:rFonts w:hint="eastAsia" w:ascii="宋体" w:hAnsi="宋体" w:eastAsia="宋体" w:cs="宋体"/>
                <w:b/>
                <w:color w:val="000000"/>
                <w:sz w:val="18"/>
                <w:szCs w:val="18"/>
              </w:rPr>
            </w:pPr>
          </w:p>
        </w:tc>
        <w:tc>
          <w:tcPr>
            <w:tcW w:w="2010"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开展企业技术改造升级攻坚战</w:t>
            </w:r>
          </w:p>
        </w:tc>
        <w:tc>
          <w:tcPr>
            <w:tcW w:w="1927" w:type="dxa"/>
            <w:noWrap w:val="0"/>
            <w:tcMar>
              <w:top w:w="15" w:type="dxa"/>
              <w:left w:w="15" w:type="dxa"/>
              <w:right w:w="15" w:type="dxa"/>
            </w:tcMar>
            <w:vAlign w:val="center"/>
          </w:tcPr>
          <w:p>
            <w:pPr>
              <w:widowControl/>
              <w:spacing w:line="260" w:lineRule="exact"/>
              <w:jc w:val="left"/>
              <w:textAlignment w:val="center"/>
              <w:rPr>
                <w:rFonts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投资规划股、资源利用股</w:t>
            </w:r>
          </w:p>
        </w:tc>
        <w:tc>
          <w:tcPr>
            <w:tcW w:w="5497" w:type="dxa"/>
            <w:noWrap w:val="0"/>
            <w:tcMar>
              <w:top w:w="15" w:type="dxa"/>
              <w:left w:w="15" w:type="dxa"/>
              <w:right w:w="15" w:type="dxa"/>
            </w:tcMar>
            <w:vAlign w:val="center"/>
          </w:tcPr>
          <w:p>
            <w:pPr>
              <w:widowControl/>
              <w:spacing w:line="240" w:lineRule="exact"/>
              <w:ind w:firstLine="360" w:firstLineChars="200"/>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以企业为主体,以市场为导向，以创新为动力，在工业行业高危领域，推动企业开展“机械化换人、自动化减人、智能化管控”专项行动，通过技术升级、工艺改造、设备更新等方式，促进企业转型升级，改善安全条件，全面提高企业安全风险防控能力。</w:t>
            </w:r>
          </w:p>
        </w:tc>
        <w:tc>
          <w:tcPr>
            <w:tcW w:w="1199"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2021年并长期坚持</w:t>
            </w:r>
          </w:p>
        </w:tc>
        <w:tc>
          <w:tcPr>
            <w:tcW w:w="1530" w:type="dxa"/>
            <w:noWrap w:val="0"/>
            <w:tcMar>
              <w:top w:w="15" w:type="dxa"/>
              <w:left w:w="15" w:type="dxa"/>
              <w:right w:w="15" w:type="dxa"/>
            </w:tcMar>
            <w:vAlign w:val="center"/>
          </w:tcPr>
          <w:p>
            <w:pPr>
              <w:spacing w:line="260" w:lineRule="exact"/>
              <w:jc w:val="center"/>
              <w:rPr>
                <w:rFonts w:hint="eastAsia" w:ascii="仿宋_GB2312" w:hAnsi="宋体"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 w:hRule="atLeast"/>
        </w:trPr>
        <w:tc>
          <w:tcPr>
            <w:tcW w:w="684" w:type="dxa"/>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val="en-US" w:eastAsia="zh-CN" w:bidi="ar"/>
              </w:rPr>
              <w:t>7</w:t>
            </w:r>
          </w:p>
        </w:tc>
        <w:tc>
          <w:tcPr>
            <w:tcW w:w="1263" w:type="dxa"/>
            <w:vMerge w:val="restart"/>
            <w:noWrap w:val="0"/>
            <w:tcMar>
              <w:top w:w="15" w:type="dxa"/>
              <w:left w:w="15" w:type="dxa"/>
              <w:right w:w="15" w:type="dxa"/>
            </w:tcMar>
            <w:vAlign w:val="center"/>
          </w:tcPr>
          <w:p>
            <w:pPr>
              <w:spacing w:line="260" w:lineRule="exact"/>
              <w:jc w:val="center"/>
              <w:textAlignment w:val="center"/>
              <w:rPr>
                <w:rFonts w:hint="eastAsia" w:ascii="宋体" w:hAnsi="宋体" w:eastAsia="宋体" w:cs="宋体"/>
                <w:b/>
                <w:color w:val="000000"/>
                <w:sz w:val="18"/>
                <w:szCs w:val="18"/>
              </w:rPr>
            </w:pPr>
            <w:r>
              <w:rPr>
                <w:rFonts w:hint="eastAsia" w:ascii="宋体" w:hAnsi="宋体" w:eastAsia="宋体" w:cs="宋体"/>
                <w:b/>
                <w:kern w:val="0"/>
                <w:sz w:val="18"/>
                <w:szCs w:val="18"/>
                <w:lang w:bidi="ar"/>
              </w:rPr>
              <w:t>危险化学品</w:t>
            </w:r>
          </w:p>
        </w:tc>
        <w:tc>
          <w:tcPr>
            <w:tcW w:w="2010"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kern w:val="0"/>
                <w:sz w:val="18"/>
                <w:szCs w:val="18"/>
                <w:lang w:bidi="ar"/>
              </w:rPr>
              <w:t>开展重大安全风险管控“回头看”攻坚战</w:t>
            </w:r>
          </w:p>
        </w:tc>
        <w:tc>
          <w:tcPr>
            <w:tcW w:w="1927"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sz w:val="18"/>
                <w:szCs w:val="18"/>
              </w:rPr>
            </w:pPr>
            <w:r>
              <w:rPr>
                <w:rFonts w:hint="eastAsia" w:ascii="仿宋_GB2312" w:hAnsi="仿宋_GB2312" w:cs="仿宋_GB2312"/>
                <w:color w:val="000000"/>
                <w:kern w:val="0"/>
                <w:sz w:val="18"/>
                <w:szCs w:val="18"/>
                <w:lang w:bidi="ar"/>
              </w:rPr>
              <w:t>投资规划股、经济运行股、综合指导股、资源利用股、墙散办</w:t>
            </w:r>
          </w:p>
        </w:tc>
        <w:tc>
          <w:tcPr>
            <w:tcW w:w="5497" w:type="dxa"/>
            <w:noWrap w:val="0"/>
            <w:tcMar>
              <w:top w:w="15" w:type="dxa"/>
              <w:left w:w="15" w:type="dxa"/>
              <w:right w:w="15" w:type="dxa"/>
            </w:tcMar>
            <w:vAlign w:val="center"/>
          </w:tcPr>
          <w:p>
            <w:pPr>
              <w:widowControl/>
              <w:spacing w:line="240" w:lineRule="exact"/>
              <w:ind w:firstLine="360" w:firstLineChars="200"/>
              <w:jc w:val="left"/>
              <w:textAlignment w:val="center"/>
              <w:rPr>
                <w:rFonts w:hint="eastAsia" w:ascii="仿宋_GB2312" w:hAnsi="仿宋_GB2312" w:cs="仿宋_GB2312"/>
                <w:kern w:val="0"/>
                <w:sz w:val="18"/>
                <w:szCs w:val="18"/>
                <w:lang w:bidi="ar"/>
              </w:rPr>
            </w:pPr>
            <w:r>
              <w:rPr>
                <w:rFonts w:hint="eastAsia" w:ascii="仿宋_GB2312" w:hAnsi="仿宋_GB2312" w:cs="仿宋_GB2312"/>
                <w:kern w:val="0"/>
                <w:sz w:val="18"/>
                <w:szCs w:val="18"/>
                <w:lang w:bidi="ar"/>
              </w:rPr>
              <w:t>配合牵头部门全面实施重大危险源监控系统建设，严格产业准入。</w:t>
            </w:r>
          </w:p>
          <w:p>
            <w:pPr>
              <w:widowControl/>
              <w:spacing w:line="240" w:lineRule="exact"/>
              <w:ind w:firstLine="360" w:firstLineChars="200"/>
              <w:jc w:val="left"/>
              <w:textAlignment w:val="center"/>
              <w:rPr>
                <w:rFonts w:hint="eastAsia" w:ascii="仿宋_GB2312" w:hAnsi="仿宋_GB2312" w:cs="仿宋_GB2312"/>
                <w:color w:val="000000"/>
                <w:kern w:val="0"/>
                <w:sz w:val="18"/>
                <w:szCs w:val="18"/>
                <w:lang w:bidi="ar"/>
              </w:rPr>
            </w:pPr>
          </w:p>
        </w:tc>
        <w:tc>
          <w:tcPr>
            <w:tcW w:w="1199"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kern w:val="0"/>
                <w:sz w:val="18"/>
                <w:szCs w:val="18"/>
                <w:lang w:bidi="ar"/>
              </w:rPr>
              <w:t>2021年并长期坚持</w:t>
            </w:r>
          </w:p>
        </w:tc>
        <w:tc>
          <w:tcPr>
            <w:tcW w:w="1530" w:type="dxa"/>
            <w:noWrap w:val="0"/>
            <w:tcMar>
              <w:top w:w="15" w:type="dxa"/>
              <w:left w:w="15" w:type="dxa"/>
              <w:right w:w="15" w:type="dxa"/>
            </w:tcMar>
            <w:vAlign w:val="center"/>
          </w:tcPr>
          <w:p>
            <w:pPr>
              <w:widowControl/>
              <w:spacing w:line="260" w:lineRule="exact"/>
              <w:jc w:val="left"/>
              <w:textAlignment w:val="center"/>
              <w:rPr>
                <w:rFonts w:hint="eastAsia" w:ascii="仿宋_GB2312" w:hAnsi="宋体"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09" w:hRule="atLeast"/>
        </w:trPr>
        <w:tc>
          <w:tcPr>
            <w:tcW w:w="684" w:type="dxa"/>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color w:val="000000"/>
                <w:sz w:val="18"/>
                <w:szCs w:val="18"/>
                <w:lang w:eastAsia="zh-CN"/>
              </w:rPr>
            </w:pPr>
            <w:r>
              <w:rPr>
                <w:rFonts w:hint="eastAsia" w:ascii="宋体" w:hAnsi="宋体" w:eastAsia="宋体" w:cs="宋体"/>
                <w:color w:val="000000"/>
                <w:kern w:val="0"/>
                <w:sz w:val="18"/>
                <w:szCs w:val="18"/>
                <w:lang w:val="en-US" w:eastAsia="zh-CN" w:bidi="ar"/>
              </w:rPr>
              <w:t>8</w:t>
            </w:r>
          </w:p>
        </w:tc>
        <w:tc>
          <w:tcPr>
            <w:tcW w:w="1263" w:type="dxa"/>
            <w:vMerge w:val="continue"/>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b/>
                <w:color w:val="000000"/>
                <w:kern w:val="0"/>
                <w:sz w:val="18"/>
                <w:szCs w:val="18"/>
                <w:lang w:bidi="ar"/>
              </w:rPr>
            </w:pPr>
          </w:p>
        </w:tc>
        <w:tc>
          <w:tcPr>
            <w:tcW w:w="2010"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sz w:val="18"/>
                <w:szCs w:val="18"/>
              </w:rPr>
            </w:pPr>
            <w:r>
              <w:rPr>
                <w:rFonts w:hint="eastAsia" w:ascii="仿宋_GB2312" w:hAnsi="仿宋_GB2312" w:cs="仿宋_GB2312"/>
                <w:kern w:val="0"/>
                <w:sz w:val="18"/>
                <w:szCs w:val="18"/>
                <w:lang w:bidi="ar"/>
              </w:rPr>
              <w:t>开展高危行业领域淘汰落后产能攻坚战</w:t>
            </w:r>
          </w:p>
        </w:tc>
        <w:tc>
          <w:tcPr>
            <w:tcW w:w="1927"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sz w:val="18"/>
                <w:szCs w:val="18"/>
              </w:rPr>
            </w:pPr>
            <w:r>
              <w:rPr>
                <w:rFonts w:hint="eastAsia" w:ascii="仿宋_GB2312" w:hAnsi="仿宋_GB2312" w:cs="仿宋_GB2312"/>
                <w:color w:val="000000"/>
                <w:kern w:val="0"/>
                <w:sz w:val="18"/>
                <w:szCs w:val="18"/>
                <w:lang w:bidi="ar"/>
              </w:rPr>
              <w:t>投资规划股、经济运行股、综合指导股、资源利用股、墙散办</w:t>
            </w:r>
          </w:p>
        </w:tc>
        <w:tc>
          <w:tcPr>
            <w:tcW w:w="5497" w:type="dxa"/>
            <w:noWrap w:val="0"/>
            <w:tcMar>
              <w:top w:w="15" w:type="dxa"/>
              <w:left w:w="15" w:type="dxa"/>
              <w:right w:w="15" w:type="dxa"/>
            </w:tcMar>
            <w:vAlign w:val="center"/>
          </w:tcPr>
          <w:p>
            <w:pPr>
              <w:widowControl/>
              <w:spacing w:line="260" w:lineRule="exact"/>
              <w:ind w:firstLine="360" w:firstLineChars="200"/>
              <w:jc w:val="left"/>
              <w:textAlignment w:val="center"/>
              <w:rPr>
                <w:rFonts w:hint="eastAsia" w:ascii="仿宋_GB2312" w:hAnsi="仿宋_GB2312" w:cs="仿宋_GB2312"/>
                <w:kern w:val="0"/>
                <w:sz w:val="18"/>
                <w:szCs w:val="18"/>
                <w:lang w:bidi="ar"/>
              </w:rPr>
            </w:pPr>
            <w:r>
              <w:rPr>
                <w:rFonts w:hint="eastAsia" w:ascii="仿宋_GB2312" w:hAnsi="仿宋_GB2312" w:cs="仿宋_GB2312"/>
                <w:kern w:val="0"/>
                <w:sz w:val="18"/>
                <w:szCs w:val="18"/>
                <w:lang w:bidi="ar"/>
              </w:rPr>
              <w:t>1.配合牵头部门对达不到相关安全标准和淘汰类产能、工艺装备进行全面摸底，并依法依规逐步淘汰、关闭和取缔，推动落后产能退出，促进行业安全生产整体水平提升。</w:t>
            </w:r>
          </w:p>
          <w:p>
            <w:pPr>
              <w:widowControl/>
              <w:spacing w:line="260" w:lineRule="exact"/>
              <w:ind w:firstLine="360" w:firstLineChars="200"/>
              <w:jc w:val="left"/>
              <w:textAlignment w:val="center"/>
              <w:rPr>
                <w:rFonts w:hint="eastAsia" w:ascii="仿宋_GB2312" w:hAnsi="仿宋_GB2312" w:cs="仿宋_GB2312"/>
                <w:kern w:val="0"/>
                <w:sz w:val="18"/>
                <w:szCs w:val="18"/>
                <w:lang w:bidi="ar"/>
              </w:rPr>
            </w:pPr>
            <w:r>
              <w:rPr>
                <w:rFonts w:hint="eastAsia" w:ascii="仿宋_GB2312" w:hAnsi="仿宋_GB2312" w:cs="仿宋_GB2312"/>
                <w:kern w:val="0"/>
                <w:sz w:val="18"/>
                <w:szCs w:val="18"/>
                <w:lang w:bidi="ar"/>
              </w:rPr>
              <w:t>2.配合牵头部门采取措施，巩固工作成果，严防淘汰落后产能、工艺、设备和关闭企业死灰复燃。</w:t>
            </w:r>
          </w:p>
          <w:p>
            <w:pPr>
              <w:widowControl/>
              <w:spacing w:line="260" w:lineRule="exact"/>
              <w:ind w:firstLine="360" w:firstLineChars="200"/>
              <w:jc w:val="left"/>
              <w:textAlignment w:val="center"/>
              <w:rPr>
                <w:rFonts w:hint="eastAsia" w:ascii="仿宋_GB2312" w:hAnsi="仿宋_GB2312" w:cs="仿宋_GB2312"/>
                <w:color w:val="000000"/>
                <w:sz w:val="18"/>
                <w:szCs w:val="18"/>
              </w:rPr>
            </w:pPr>
            <w:r>
              <w:rPr>
                <w:rFonts w:hint="eastAsia" w:ascii="仿宋_GB2312" w:hAnsi="仿宋_GB2312" w:cs="仿宋_GB2312"/>
                <w:kern w:val="0"/>
                <w:sz w:val="18"/>
                <w:szCs w:val="18"/>
                <w:lang w:bidi="ar"/>
              </w:rPr>
              <w:t>3.严格准入，制定完善危险化学品“禁限控”目录。</w:t>
            </w:r>
          </w:p>
        </w:tc>
        <w:tc>
          <w:tcPr>
            <w:tcW w:w="1199"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sz w:val="18"/>
                <w:szCs w:val="18"/>
              </w:rPr>
            </w:pPr>
            <w:r>
              <w:rPr>
                <w:rFonts w:hint="eastAsia" w:ascii="仿宋_GB2312" w:hAnsi="仿宋_GB2312" w:cs="仿宋_GB2312"/>
                <w:kern w:val="0"/>
                <w:sz w:val="18"/>
                <w:szCs w:val="18"/>
                <w:lang w:bidi="ar"/>
              </w:rPr>
              <w:t>2021年并长期坚持</w:t>
            </w:r>
          </w:p>
        </w:tc>
        <w:tc>
          <w:tcPr>
            <w:tcW w:w="1530" w:type="dxa"/>
            <w:noWrap w:val="0"/>
            <w:tcMar>
              <w:top w:w="15" w:type="dxa"/>
              <w:left w:w="15" w:type="dxa"/>
              <w:right w:w="15" w:type="dxa"/>
            </w:tcMar>
            <w:vAlign w:val="center"/>
          </w:tcPr>
          <w:p>
            <w:pPr>
              <w:widowControl/>
              <w:spacing w:line="260" w:lineRule="exact"/>
              <w:jc w:val="left"/>
              <w:textAlignment w:val="center"/>
              <w:rPr>
                <w:rFonts w:hint="eastAsia" w:ascii="仿宋_GB2312" w:hAnsi="宋体"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96" w:hRule="atLeast"/>
        </w:trPr>
        <w:tc>
          <w:tcPr>
            <w:tcW w:w="684" w:type="dxa"/>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val="en-US" w:eastAsia="zh-CN" w:bidi="ar"/>
              </w:rPr>
              <w:t>9</w:t>
            </w:r>
          </w:p>
        </w:tc>
        <w:tc>
          <w:tcPr>
            <w:tcW w:w="1263" w:type="dxa"/>
            <w:vMerge w:val="restart"/>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b/>
                <w:color w:val="000000"/>
                <w:kern w:val="0"/>
                <w:sz w:val="18"/>
                <w:szCs w:val="18"/>
                <w:lang w:bidi="ar"/>
              </w:rPr>
            </w:pPr>
            <w:r>
              <w:rPr>
                <w:rFonts w:hint="eastAsia" w:ascii="宋体" w:hAnsi="宋体" w:eastAsia="宋体" w:cs="宋体"/>
                <w:b/>
                <w:kern w:val="0"/>
                <w:sz w:val="18"/>
                <w:szCs w:val="18"/>
                <w:lang w:bidi="ar"/>
              </w:rPr>
              <w:t>工业园区</w:t>
            </w:r>
          </w:p>
        </w:tc>
        <w:tc>
          <w:tcPr>
            <w:tcW w:w="2010"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kern w:val="0"/>
                <w:sz w:val="18"/>
                <w:szCs w:val="18"/>
                <w:lang w:bidi="ar"/>
              </w:rPr>
              <w:t>开展高危行业领域淘汰落后产能攻坚战</w:t>
            </w:r>
          </w:p>
        </w:tc>
        <w:tc>
          <w:tcPr>
            <w:tcW w:w="1927"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投资规划股、经济运行股、综合指导股、资源利用股、墙散办</w:t>
            </w:r>
          </w:p>
        </w:tc>
        <w:tc>
          <w:tcPr>
            <w:tcW w:w="5497" w:type="dxa"/>
            <w:noWrap w:val="0"/>
            <w:tcMar>
              <w:top w:w="15" w:type="dxa"/>
              <w:left w:w="15" w:type="dxa"/>
              <w:right w:w="15" w:type="dxa"/>
            </w:tcMar>
            <w:vAlign w:val="center"/>
          </w:tcPr>
          <w:p>
            <w:pPr>
              <w:widowControl/>
              <w:spacing w:line="220" w:lineRule="exact"/>
              <w:ind w:firstLine="360"/>
              <w:jc w:val="left"/>
              <w:textAlignment w:val="center"/>
              <w:rPr>
                <w:rFonts w:hint="eastAsia" w:ascii="仿宋_GB2312" w:hAnsi="仿宋_GB2312" w:cs="仿宋_GB2312"/>
                <w:kern w:val="0"/>
                <w:sz w:val="18"/>
                <w:szCs w:val="18"/>
                <w:lang w:bidi="ar"/>
              </w:rPr>
            </w:pPr>
            <w:r>
              <w:rPr>
                <w:rFonts w:hint="eastAsia" w:ascii="仿宋_GB2312" w:hAnsi="仿宋_GB2312" w:cs="仿宋_GB2312"/>
                <w:kern w:val="0"/>
                <w:sz w:val="18"/>
                <w:szCs w:val="18"/>
                <w:lang w:bidi="ar"/>
              </w:rPr>
              <w:t>１.配合牵头部门开展园区整体安全风险评估攻坚。加大指导督导力度，推动园区完成整体安全风险评估，推进安全生产标准达标创建。</w:t>
            </w:r>
          </w:p>
          <w:p>
            <w:pPr>
              <w:widowControl/>
              <w:spacing w:line="220" w:lineRule="exact"/>
              <w:ind w:firstLine="360"/>
              <w:jc w:val="left"/>
              <w:textAlignment w:val="center"/>
              <w:rPr>
                <w:rFonts w:hint="eastAsia" w:ascii="仿宋_GB2312" w:hAnsi="仿宋_GB2312" w:cs="仿宋_GB2312"/>
                <w:kern w:val="0"/>
                <w:sz w:val="18"/>
                <w:szCs w:val="18"/>
                <w:lang w:bidi="ar"/>
              </w:rPr>
            </w:pPr>
            <w:r>
              <w:rPr>
                <w:rFonts w:hint="eastAsia" w:ascii="仿宋_GB2312" w:hAnsi="仿宋_GB2312" w:cs="仿宋_GB2312"/>
                <w:kern w:val="0"/>
                <w:sz w:val="18"/>
                <w:szCs w:val="18"/>
                <w:lang w:bidi="ar"/>
              </w:rPr>
              <w:t>2.推进源头治理，以水泥行业领域为重点，对达不到相关安全标准和淘汰类产能、工艺装备进行全面摸底，并依法依规逐步淘汰、关闭和取缔，推动落后产能退出，促进安全生产整体水平提升。</w:t>
            </w:r>
          </w:p>
          <w:p>
            <w:pPr>
              <w:widowControl/>
              <w:spacing w:line="220" w:lineRule="exact"/>
              <w:ind w:firstLine="360"/>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kern w:val="0"/>
                <w:sz w:val="18"/>
                <w:szCs w:val="18"/>
                <w:lang w:bidi="ar"/>
              </w:rPr>
              <w:t>3.配合牵头部门采取措施，严防淘汰落后产能、工艺、设备和关闭企业死灰复燃。</w:t>
            </w:r>
          </w:p>
        </w:tc>
        <w:tc>
          <w:tcPr>
            <w:tcW w:w="1199" w:type="dxa"/>
            <w:noWrap w:val="0"/>
            <w:tcMar>
              <w:top w:w="15" w:type="dxa"/>
              <w:left w:w="15" w:type="dxa"/>
              <w:right w:w="15" w:type="dxa"/>
            </w:tcMar>
            <w:vAlign w:val="center"/>
          </w:tcPr>
          <w:p>
            <w:pPr>
              <w:widowControl/>
              <w:spacing w:line="260" w:lineRule="exact"/>
              <w:jc w:val="center"/>
              <w:textAlignment w:val="center"/>
              <w:rPr>
                <w:rFonts w:hint="eastAsia" w:ascii="仿宋_GB2312" w:hAnsi="仿宋_GB2312" w:cs="仿宋_GB2312"/>
                <w:color w:val="000000"/>
                <w:kern w:val="0"/>
                <w:sz w:val="18"/>
                <w:szCs w:val="18"/>
                <w:lang w:bidi="ar"/>
              </w:rPr>
            </w:pPr>
            <w:r>
              <w:rPr>
                <w:rFonts w:hint="eastAsia" w:ascii="仿宋_GB2312" w:hAnsi="仿宋_GB2312" w:cs="仿宋_GB2312"/>
                <w:kern w:val="0"/>
                <w:sz w:val="18"/>
                <w:szCs w:val="18"/>
                <w:lang w:bidi="ar"/>
              </w:rPr>
              <w:t>2021年</w:t>
            </w:r>
          </w:p>
        </w:tc>
        <w:tc>
          <w:tcPr>
            <w:tcW w:w="1530" w:type="dxa"/>
            <w:noWrap w:val="0"/>
            <w:tcMar>
              <w:top w:w="15" w:type="dxa"/>
              <w:left w:w="15" w:type="dxa"/>
              <w:right w:w="15" w:type="dxa"/>
            </w:tcMar>
            <w:vAlign w:val="center"/>
          </w:tcPr>
          <w:p>
            <w:pPr>
              <w:widowControl/>
              <w:spacing w:line="260" w:lineRule="exact"/>
              <w:jc w:val="left"/>
              <w:textAlignment w:val="center"/>
              <w:rPr>
                <w:rFonts w:hint="eastAsia" w:ascii="仿宋_GB2312" w:hAnsi="宋体"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9" w:hRule="atLeast"/>
        </w:trPr>
        <w:tc>
          <w:tcPr>
            <w:tcW w:w="684" w:type="dxa"/>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w:t>
            </w:r>
            <w:r>
              <w:rPr>
                <w:rFonts w:hint="eastAsia" w:ascii="宋体" w:hAnsi="宋体" w:eastAsia="宋体" w:cs="宋体"/>
                <w:color w:val="000000"/>
                <w:kern w:val="0"/>
                <w:sz w:val="18"/>
                <w:szCs w:val="18"/>
                <w:lang w:val="en-US" w:eastAsia="zh-CN" w:bidi="ar"/>
              </w:rPr>
              <w:t>0</w:t>
            </w:r>
          </w:p>
        </w:tc>
        <w:tc>
          <w:tcPr>
            <w:tcW w:w="1263" w:type="dxa"/>
            <w:vMerge w:val="continue"/>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b/>
                <w:color w:val="000000"/>
                <w:kern w:val="0"/>
                <w:sz w:val="18"/>
                <w:szCs w:val="18"/>
                <w:lang w:bidi="ar"/>
              </w:rPr>
            </w:pPr>
          </w:p>
        </w:tc>
        <w:tc>
          <w:tcPr>
            <w:tcW w:w="2010"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kern w:val="0"/>
                <w:sz w:val="18"/>
                <w:szCs w:val="18"/>
                <w:lang w:bidi="ar"/>
              </w:rPr>
              <w:t>开展企业技术改造升级攻坚战</w:t>
            </w:r>
          </w:p>
        </w:tc>
        <w:tc>
          <w:tcPr>
            <w:tcW w:w="1927"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color w:val="000000"/>
                <w:kern w:val="0"/>
                <w:sz w:val="18"/>
                <w:szCs w:val="18"/>
                <w:lang w:bidi="ar"/>
              </w:rPr>
              <w:t>投资规划股、资源利用股</w:t>
            </w:r>
          </w:p>
        </w:tc>
        <w:tc>
          <w:tcPr>
            <w:tcW w:w="5497" w:type="dxa"/>
            <w:noWrap w:val="0"/>
            <w:tcMar>
              <w:top w:w="15" w:type="dxa"/>
              <w:left w:w="15" w:type="dxa"/>
              <w:right w:w="15" w:type="dxa"/>
            </w:tcMar>
            <w:vAlign w:val="center"/>
          </w:tcPr>
          <w:p>
            <w:pPr>
              <w:widowControl/>
              <w:spacing w:line="260" w:lineRule="exact"/>
              <w:ind w:firstLine="360" w:firstLineChars="200"/>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kern w:val="0"/>
                <w:sz w:val="18"/>
                <w:szCs w:val="18"/>
                <w:lang w:bidi="ar"/>
              </w:rPr>
              <w:t>在工业行业领域，推动企业开展“机械化换人、自动化减人、智能化管控”专项行动，通过技术升级、工艺改革、设备更新等方式，促进企业转型升级，改善安全条件，全面提高企业安全风险防控能力。</w:t>
            </w:r>
          </w:p>
        </w:tc>
        <w:tc>
          <w:tcPr>
            <w:tcW w:w="1199" w:type="dxa"/>
            <w:noWrap w:val="0"/>
            <w:tcMar>
              <w:top w:w="15" w:type="dxa"/>
              <w:left w:w="15" w:type="dxa"/>
              <w:right w:w="15" w:type="dxa"/>
            </w:tcMar>
            <w:vAlign w:val="center"/>
          </w:tcPr>
          <w:p>
            <w:pPr>
              <w:widowControl/>
              <w:spacing w:line="260" w:lineRule="exact"/>
              <w:jc w:val="center"/>
              <w:textAlignment w:val="center"/>
              <w:rPr>
                <w:rFonts w:hint="eastAsia" w:ascii="仿宋_GB2312" w:hAnsi="仿宋_GB2312" w:cs="仿宋_GB2312"/>
                <w:color w:val="000000"/>
                <w:kern w:val="0"/>
                <w:sz w:val="18"/>
                <w:szCs w:val="18"/>
                <w:lang w:bidi="ar"/>
              </w:rPr>
            </w:pPr>
            <w:r>
              <w:rPr>
                <w:rFonts w:hint="eastAsia" w:ascii="仿宋_GB2312" w:hAnsi="仿宋_GB2312" w:cs="仿宋_GB2312"/>
                <w:kern w:val="0"/>
                <w:sz w:val="18"/>
                <w:szCs w:val="18"/>
                <w:lang w:bidi="ar"/>
              </w:rPr>
              <w:t>2021年</w:t>
            </w:r>
          </w:p>
        </w:tc>
        <w:tc>
          <w:tcPr>
            <w:tcW w:w="1530" w:type="dxa"/>
            <w:noWrap w:val="0"/>
            <w:tcMar>
              <w:top w:w="15" w:type="dxa"/>
              <w:left w:w="15" w:type="dxa"/>
              <w:right w:w="15" w:type="dxa"/>
            </w:tcMar>
            <w:vAlign w:val="center"/>
          </w:tcPr>
          <w:p>
            <w:pPr>
              <w:widowControl/>
              <w:spacing w:line="260" w:lineRule="exact"/>
              <w:jc w:val="left"/>
              <w:textAlignment w:val="center"/>
              <w:rPr>
                <w:rFonts w:hint="eastAsia" w:ascii="仿宋_GB2312" w:hAnsi="宋体"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2" w:hRule="atLeast"/>
        </w:trPr>
        <w:tc>
          <w:tcPr>
            <w:tcW w:w="684" w:type="dxa"/>
            <w:noWrap w:val="0"/>
            <w:tcMar>
              <w:top w:w="15" w:type="dxa"/>
              <w:left w:w="15" w:type="dxa"/>
              <w:right w:w="15" w:type="dxa"/>
            </w:tcMar>
            <w:vAlign w:val="center"/>
          </w:tcPr>
          <w:p>
            <w:pPr>
              <w:widowControl/>
              <w:spacing w:line="260" w:lineRule="exact"/>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w:t>
            </w:r>
            <w:r>
              <w:rPr>
                <w:rFonts w:hint="eastAsia" w:ascii="宋体" w:hAnsi="宋体" w:eastAsia="宋体" w:cs="宋体"/>
                <w:color w:val="000000"/>
                <w:kern w:val="0"/>
                <w:sz w:val="18"/>
                <w:szCs w:val="18"/>
                <w:lang w:val="en-US" w:eastAsia="zh-CN" w:bidi="ar"/>
              </w:rPr>
              <w:t>1</w:t>
            </w:r>
          </w:p>
        </w:tc>
        <w:tc>
          <w:tcPr>
            <w:tcW w:w="1263" w:type="dxa"/>
            <w:noWrap w:val="0"/>
            <w:tcMar>
              <w:top w:w="15" w:type="dxa"/>
              <w:left w:w="15" w:type="dxa"/>
              <w:right w:w="15" w:type="dxa"/>
            </w:tcMar>
            <w:vAlign w:val="center"/>
          </w:tcPr>
          <w:p>
            <w:pPr>
              <w:spacing w:line="260" w:lineRule="exact"/>
              <w:jc w:val="center"/>
              <w:rPr>
                <w:rFonts w:hint="eastAsia" w:ascii="宋体" w:hAnsi="宋体" w:eastAsia="宋体" w:cs="宋体"/>
                <w:b/>
                <w:color w:val="000000"/>
                <w:kern w:val="0"/>
                <w:sz w:val="18"/>
                <w:szCs w:val="18"/>
                <w:lang w:bidi="ar"/>
              </w:rPr>
            </w:pPr>
            <w:r>
              <w:rPr>
                <w:rFonts w:hint="eastAsia" w:ascii="宋体" w:hAnsi="宋体" w:eastAsia="宋体" w:cs="宋体"/>
                <w:b/>
                <w:sz w:val="18"/>
                <w:szCs w:val="18"/>
              </w:rPr>
              <w:t>道路交通</w:t>
            </w:r>
          </w:p>
        </w:tc>
        <w:tc>
          <w:tcPr>
            <w:tcW w:w="2010"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color w:val="000000"/>
                <w:kern w:val="0"/>
                <w:sz w:val="18"/>
                <w:szCs w:val="18"/>
                <w:lang w:bidi="ar"/>
              </w:rPr>
            </w:pPr>
            <w:r>
              <w:rPr>
                <w:rFonts w:hint="eastAsia" w:ascii="仿宋_GB2312" w:hAnsi="仿宋_GB2312" w:cs="仿宋_GB2312"/>
                <w:kern w:val="0"/>
                <w:sz w:val="18"/>
                <w:szCs w:val="18"/>
                <w:lang w:bidi="ar"/>
              </w:rPr>
              <w:t>开展安全生产“打非治违”攻坚战</w:t>
            </w:r>
          </w:p>
        </w:tc>
        <w:tc>
          <w:tcPr>
            <w:tcW w:w="1927" w:type="dxa"/>
            <w:noWrap w:val="0"/>
            <w:tcMar>
              <w:top w:w="15" w:type="dxa"/>
              <w:left w:w="15" w:type="dxa"/>
              <w:right w:w="15" w:type="dxa"/>
            </w:tcMar>
            <w:vAlign w:val="center"/>
          </w:tcPr>
          <w:p>
            <w:pPr>
              <w:widowControl/>
              <w:spacing w:line="260" w:lineRule="exact"/>
              <w:jc w:val="left"/>
              <w:textAlignment w:val="center"/>
              <w:rPr>
                <w:rStyle w:val="24"/>
                <w:rFonts w:hint="default" w:hAnsi="仿宋_GB2312"/>
                <w:color w:val="auto"/>
                <w:sz w:val="18"/>
                <w:szCs w:val="18"/>
                <w:lang w:bidi="ar"/>
              </w:rPr>
            </w:pPr>
            <w:r>
              <w:rPr>
                <w:rFonts w:hint="eastAsia" w:ascii="仿宋_GB2312" w:hAnsi="仿宋_GB2312" w:cs="仿宋_GB2312"/>
                <w:color w:val="000000"/>
                <w:kern w:val="0"/>
                <w:sz w:val="18"/>
                <w:szCs w:val="18"/>
                <w:lang w:bidi="ar"/>
              </w:rPr>
              <w:t>投资规划股、经济运行股、综合指导股、资源利用股、墙散办</w:t>
            </w:r>
          </w:p>
        </w:tc>
        <w:tc>
          <w:tcPr>
            <w:tcW w:w="5497" w:type="dxa"/>
            <w:noWrap w:val="0"/>
            <w:tcMar>
              <w:top w:w="15" w:type="dxa"/>
              <w:left w:w="15" w:type="dxa"/>
              <w:right w:w="15" w:type="dxa"/>
            </w:tcMar>
            <w:vAlign w:val="center"/>
          </w:tcPr>
          <w:p>
            <w:pPr>
              <w:widowControl/>
              <w:spacing w:line="260" w:lineRule="exact"/>
              <w:ind w:firstLine="360" w:firstLineChars="200"/>
              <w:jc w:val="left"/>
              <w:textAlignment w:val="center"/>
              <w:rPr>
                <w:rStyle w:val="24"/>
                <w:rFonts w:hint="default" w:hAnsi="仿宋_GB2312"/>
                <w:color w:val="auto"/>
                <w:sz w:val="18"/>
                <w:szCs w:val="18"/>
                <w:lang w:bidi="ar"/>
              </w:rPr>
            </w:pPr>
            <w:r>
              <w:rPr>
                <w:rStyle w:val="24"/>
                <w:rFonts w:hint="default" w:hAnsi="仿宋_GB2312"/>
                <w:color w:val="auto"/>
                <w:sz w:val="18"/>
                <w:szCs w:val="18"/>
                <w:lang w:bidi="ar"/>
              </w:rPr>
              <w:t>１.积极参与货车非法改装专项整治，严格查处“大吨小标”、非法改装等违法违规生产、销售行为。</w:t>
            </w:r>
          </w:p>
          <w:p>
            <w:pPr>
              <w:widowControl/>
              <w:spacing w:line="260" w:lineRule="exact"/>
              <w:ind w:firstLine="360"/>
              <w:jc w:val="left"/>
              <w:textAlignment w:val="center"/>
              <w:rPr>
                <w:rFonts w:hint="eastAsia" w:ascii="仿宋_GB2312" w:hAnsi="仿宋_GB2312" w:cs="仿宋_GB2312"/>
                <w:color w:val="000000"/>
                <w:kern w:val="0"/>
                <w:sz w:val="18"/>
                <w:szCs w:val="18"/>
                <w:lang w:bidi="ar"/>
              </w:rPr>
            </w:pPr>
            <w:r>
              <w:rPr>
                <w:rStyle w:val="24"/>
                <w:rFonts w:hint="default" w:hAnsi="仿宋_GB2312"/>
                <w:color w:val="auto"/>
                <w:sz w:val="18"/>
                <w:szCs w:val="18"/>
                <w:lang w:bidi="ar"/>
              </w:rPr>
              <w:t>２.配合牵头部门强化混凝土搅拌车综合治理，研究建立源头监管、联合惩戒等工作措施，严查逆向行驶、违反交通信号灯、超速等交通安全违法行为。</w:t>
            </w:r>
          </w:p>
        </w:tc>
        <w:tc>
          <w:tcPr>
            <w:tcW w:w="1199" w:type="dxa"/>
            <w:noWrap w:val="0"/>
            <w:tcMar>
              <w:top w:w="15" w:type="dxa"/>
              <w:left w:w="15" w:type="dxa"/>
              <w:right w:w="15" w:type="dxa"/>
            </w:tcMar>
            <w:vAlign w:val="center"/>
          </w:tcPr>
          <w:p>
            <w:pPr>
              <w:widowControl/>
              <w:spacing w:line="260" w:lineRule="exact"/>
              <w:jc w:val="center"/>
              <w:textAlignment w:val="center"/>
              <w:rPr>
                <w:rFonts w:hint="eastAsia" w:ascii="仿宋_GB2312" w:hAnsi="仿宋_GB2312" w:cs="仿宋_GB2312"/>
                <w:color w:val="000000"/>
                <w:kern w:val="0"/>
                <w:sz w:val="18"/>
                <w:szCs w:val="18"/>
                <w:lang w:bidi="ar"/>
              </w:rPr>
            </w:pPr>
            <w:r>
              <w:rPr>
                <w:rFonts w:hint="eastAsia" w:ascii="仿宋_GB2312" w:hAnsi="仿宋_GB2312" w:cs="仿宋_GB2312"/>
                <w:kern w:val="0"/>
                <w:sz w:val="18"/>
                <w:szCs w:val="18"/>
                <w:lang w:bidi="ar"/>
              </w:rPr>
              <w:t>2021年并长期坚持</w:t>
            </w:r>
          </w:p>
        </w:tc>
        <w:tc>
          <w:tcPr>
            <w:tcW w:w="1530" w:type="dxa"/>
            <w:noWrap w:val="0"/>
            <w:tcMar>
              <w:top w:w="15" w:type="dxa"/>
              <w:left w:w="15" w:type="dxa"/>
              <w:right w:w="15" w:type="dxa"/>
            </w:tcMar>
            <w:vAlign w:val="center"/>
          </w:tcPr>
          <w:p>
            <w:pPr>
              <w:spacing w:line="260" w:lineRule="exact"/>
              <w:jc w:val="center"/>
              <w:rPr>
                <w:rFonts w:hint="eastAsia" w:ascii="仿宋_GB2312" w:hAnsi="宋体"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72" w:hRule="exact"/>
        </w:trPr>
        <w:tc>
          <w:tcPr>
            <w:tcW w:w="684" w:type="dxa"/>
            <w:noWrap w:val="0"/>
            <w:tcMar>
              <w:top w:w="15" w:type="dxa"/>
              <w:left w:w="15" w:type="dxa"/>
              <w:right w:w="15" w:type="dxa"/>
            </w:tcMar>
            <w:vAlign w:val="center"/>
          </w:tcPr>
          <w:p>
            <w:pPr>
              <w:widowControl/>
              <w:tabs>
                <w:tab w:val="left" w:pos="481"/>
              </w:tabs>
              <w:spacing w:line="260" w:lineRule="exact"/>
              <w:jc w:val="center"/>
              <w:textAlignment w:val="center"/>
              <w:rPr>
                <w:rFonts w:hint="eastAsia" w:ascii="宋体" w:hAnsi="宋体" w:eastAsia="宋体" w:cs="宋体"/>
                <w:color w:val="000000"/>
                <w:kern w:val="0"/>
                <w:sz w:val="18"/>
                <w:szCs w:val="18"/>
                <w:lang w:eastAsia="zh-CN" w:bidi="ar"/>
              </w:rPr>
            </w:pPr>
            <w:r>
              <w:rPr>
                <w:rFonts w:hint="eastAsia" w:ascii="宋体" w:hAnsi="宋体" w:eastAsia="宋体" w:cs="宋体"/>
                <w:color w:val="000000"/>
                <w:kern w:val="0"/>
                <w:sz w:val="18"/>
                <w:szCs w:val="18"/>
                <w:lang w:bidi="ar"/>
              </w:rPr>
              <w:t>1</w:t>
            </w:r>
            <w:r>
              <w:rPr>
                <w:rFonts w:hint="eastAsia" w:ascii="宋体" w:hAnsi="宋体" w:eastAsia="宋体" w:cs="宋体"/>
                <w:color w:val="000000"/>
                <w:kern w:val="0"/>
                <w:sz w:val="18"/>
                <w:szCs w:val="18"/>
                <w:lang w:val="en-US" w:eastAsia="zh-CN" w:bidi="ar"/>
              </w:rPr>
              <w:t>2</w:t>
            </w:r>
          </w:p>
        </w:tc>
        <w:tc>
          <w:tcPr>
            <w:tcW w:w="1263" w:type="dxa"/>
            <w:noWrap w:val="0"/>
            <w:tcMar>
              <w:top w:w="15" w:type="dxa"/>
              <w:left w:w="15" w:type="dxa"/>
              <w:right w:w="15" w:type="dxa"/>
            </w:tcMar>
            <w:vAlign w:val="center"/>
          </w:tcPr>
          <w:p>
            <w:pPr>
              <w:jc w:val="center"/>
              <w:rPr>
                <w:rFonts w:hint="eastAsia"/>
              </w:rPr>
            </w:pPr>
            <w:r>
              <w:rPr>
                <w:rFonts w:hint="eastAsia" w:ascii="宋体" w:hAnsi="宋体" w:eastAsia="宋体" w:cs="宋体"/>
                <w:b/>
                <w:bCs/>
                <w:sz w:val="18"/>
                <w:szCs w:val="18"/>
              </w:rPr>
              <w:t>消防</w:t>
            </w:r>
          </w:p>
        </w:tc>
        <w:tc>
          <w:tcPr>
            <w:tcW w:w="2010" w:type="dxa"/>
            <w:noWrap w:val="0"/>
            <w:tcMar>
              <w:top w:w="15" w:type="dxa"/>
              <w:left w:w="15" w:type="dxa"/>
              <w:right w:w="15" w:type="dxa"/>
            </w:tcMar>
            <w:vAlign w:val="center"/>
          </w:tcPr>
          <w:p>
            <w:pPr>
              <w:widowControl/>
              <w:spacing w:line="260" w:lineRule="exact"/>
              <w:jc w:val="left"/>
              <w:textAlignment w:val="center"/>
              <w:rPr>
                <w:rFonts w:hint="eastAsia" w:ascii="仿宋_GB2312" w:hAnsi="仿宋_GB2312" w:cs="仿宋_GB2312"/>
                <w:kern w:val="0"/>
                <w:sz w:val="18"/>
                <w:szCs w:val="18"/>
                <w:lang w:bidi="ar"/>
              </w:rPr>
            </w:pPr>
            <w:r>
              <w:rPr>
                <w:rFonts w:hint="eastAsia" w:ascii="仿宋_GB2312" w:hAnsi="仿宋_GB2312" w:cs="仿宋_GB2312"/>
                <w:kern w:val="0"/>
                <w:sz w:val="18"/>
                <w:szCs w:val="18"/>
                <w:lang w:bidi="ar"/>
              </w:rPr>
              <w:t>开展安全隐患排查治理“清零”攻坚战</w:t>
            </w:r>
          </w:p>
        </w:tc>
        <w:tc>
          <w:tcPr>
            <w:tcW w:w="1927" w:type="dxa"/>
            <w:noWrap w:val="0"/>
            <w:tcMar>
              <w:top w:w="15" w:type="dxa"/>
              <w:left w:w="15" w:type="dxa"/>
              <w:right w:w="15" w:type="dxa"/>
            </w:tcMar>
            <w:vAlign w:val="center"/>
          </w:tcPr>
          <w:p>
            <w:pPr>
              <w:widowControl/>
              <w:spacing w:line="260" w:lineRule="exact"/>
              <w:rPr>
                <w:rFonts w:hint="eastAsia" w:ascii="仿宋_GB2312" w:hAnsi="仿宋_GB2312" w:cs="仿宋_GB2312"/>
                <w:kern w:val="0"/>
                <w:sz w:val="18"/>
                <w:szCs w:val="18"/>
                <w:lang w:bidi="ar"/>
              </w:rPr>
            </w:pPr>
            <w:r>
              <w:rPr>
                <w:rFonts w:hint="eastAsia" w:ascii="仿宋_GB2312" w:hAnsi="仿宋_GB2312" w:cs="仿宋_GB2312"/>
                <w:color w:val="000000"/>
                <w:kern w:val="0"/>
                <w:sz w:val="18"/>
                <w:szCs w:val="18"/>
                <w:lang w:bidi="ar"/>
              </w:rPr>
              <w:t>投资规划股、经济运行股、综合指导股、资源利用股、墙散办</w:t>
            </w:r>
          </w:p>
        </w:tc>
        <w:tc>
          <w:tcPr>
            <w:tcW w:w="5497" w:type="dxa"/>
            <w:noWrap w:val="0"/>
            <w:tcMar>
              <w:top w:w="15" w:type="dxa"/>
              <w:left w:w="15" w:type="dxa"/>
              <w:right w:w="15" w:type="dxa"/>
            </w:tcMar>
            <w:vAlign w:val="center"/>
          </w:tcPr>
          <w:p>
            <w:pPr>
              <w:widowControl/>
              <w:spacing w:line="260" w:lineRule="exact"/>
              <w:ind w:firstLine="360" w:firstLineChars="200"/>
              <w:jc w:val="left"/>
              <w:textAlignment w:val="center"/>
              <w:rPr>
                <w:rStyle w:val="24"/>
                <w:rFonts w:hint="default" w:hAnsi="仿宋_GB2312"/>
                <w:color w:val="auto"/>
                <w:sz w:val="18"/>
                <w:szCs w:val="18"/>
                <w:lang w:bidi="ar"/>
              </w:rPr>
            </w:pPr>
            <w:r>
              <w:rPr>
                <w:rStyle w:val="24"/>
                <w:rFonts w:hint="default" w:hAnsi="仿宋_GB2312"/>
                <w:color w:val="auto"/>
                <w:sz w:val="18"/>
                <w:szCs w:val="18"/>
                <w:lang w:bidi="ar"/>
              </w:rPr>
              <w:t>1.配合开展电动车突出风险治理。按职责分工履行电动汽车、电动自行车生产企业行业管理责任。</w:t>
            </w:r>
          </w:p>
          <w:p>
            <w:pPr>
              <w:widowControl/>
              <w:spacing w:line="260" w:lineRule="exact"/>
              <w:ind w:firstLine="360" w:firstLineChars="200"/>
              <w:jc w:val="left"/>
              <w:textAlignment w:val="center"/>
              <w:rPr>
                <w:rFonts w:hint="eastAsia" w:ascii="仿宋_GB2312" w:hAnsi="仿宋_GB2312" w:cs="仿宋_GB2312"/>
                <w:kern w:val="0"/>
                <w:sz w:val="18"/>
                <w:szCs w:val="18"/>
                <w:lang w:bidi="ar"/>
              </w:rPr>
            </w:pPr>
            <w:r>
              <w:rPr>
                <w:rStyle w:val="24"/>
                <w:rFonts w:hint="default" w:hAnsi="仿宋_GB2312"/>
                <w:color w:val="auto"/>
                <w:sz w:val="18"/>
                <w:szCs w:val="18"/>
                <w:lang w:bidi="ar"/>
              </w:rPr>
              <w:t>2.配合开展新业态消防安全综合整治。强化监管行业消防管理措施，提高安全设防等级。</w:t>
            </w:r>
          </w:p>
        </w:tc>
        <w:tc>
          <w:tcPr>
            <w:tcW w:w="1199" w:type="dxa"/>
            <w:noWrap w:val="0"/>
            <w:tcMar>
              <w:top w:w="15" w:type="dxa"/>
              <w:left w:w="15" w:type="dxa"/>
              <w:right w:w="15" w:type="dxa"/>
            </w:tcMar>
            <w:vAlign w:val="center"/>
          </w:tcPr>
          <w:p>
            <w:pPr>
              <w:spacing w:line="260" w:lineRule="exact"/>
              <w:jc w:val="center"/>
              <w:rPr>
                <w:rFonts w:hint="eastAsia" w:ascii="仿宋_GB2312" w:hAnsi="仿宋_GB2312" w:cs="仿宋_GB2312"/>
                <w:kern w:val="0"/>
                <w:sz w:val="18"/>
                <w:szCs w:val="18"/>
                <w:lang w:bidi="ar"/>
              </w:rPr>
            </w:pPr>
            <w:r>
              <w:rPr>
                <w:rFonts w:hint="eastAsia" w:ascii="仿宋_GB2312" w:hAnsi="仿宋_GB2312" w:cs="仿宋_GB2312"/>
                <w:kern w:val="0"/>
                <w:sz w:val="18"/>
                <w:szCs w:val="18"/>
                <w:lang w:bidi="ar"/>
              </w:rPr>
              <w:t>2021年并长期坚持</w:t>
            </w:r>
          </w:p>
        </w:tc>
        <w:tc>
          <w:tcPr>
            <w:tcW w:w="1530" w:type="dxa"/>
            <w:noWrap w:val="0"/>
            <w:tcMar>
              <w:top w:w="15" w:type="dxa"/>
              <w:left w:w="15" w:type="dxa"/>
              <w:right w:w="15" w:type="dxa"/>
            </w:tcMar>
            <w:vAlign w:val="center"/>
          </w:tcPr>
          <w:p>
            <w:pPr>
              <w:spacing w:line="260" w:lineRule="exact"/>
              <w:jc w:val="center"/>
              <w:rPr>
                <w:rFonts w:hint="eastAsia" w:ascii="仿宋_GB2312" w:hAnsi="宋体" w:cs="仿宋_GB2312"/>
                <w:sz w:val="18"/>
                <w:szCs w:val="18"/>
              </w:rPr>
            </w:pPr>
          </w:p>
        </w:tc>
      </w:tr>
    </w:tbl>
    <w:p>
      <w:pPr>
        <w:pStyle w:val="23"/>
        <w:spacing w:line="600" w:lineRule="exact"/>
        <w:ind w:firstLine="0" w:firstLineChars="0"/>
        <w:rPr>
          <w:rFonts w:hint="eastAsia" w:ascii="仿宋_GB2312" w:hAnsi="仿宋_GB2312" w:eastAsia="仿宋_GB2312" w:cs="仿宋_GB2312"/>
          <w:w w:val="95"/>
        </w:rPr>
        <w:sectPr>
          <w:pgSz w:w="16838" w:h="11906" w:orient="landscape"/>
          <w:pgMar w:top="1803" w:right="1440" w:bottom="1803" w:left="1440" w:header="851" w:footer="992" w:gutter="0"/>
          <w:pgNumType w:fmt="numberInDash"/>
          <w:cols w:space="0" w:num="1"/>
          <w:rtlGutter w:val="0"/>
          <w:docGrid w:type="lines" w:linePitch="436" w:charSpace="0"/>
        </w:sectPr>
      </w:pPr>
    </w:p>
    <w:p>
      <w:pPr>
        <w:tabs>
          <w:tab w:val="left" w:pos="759"/>
        </w:tabs>
        <w:bidi w:val="0"/>
        <w:jc w:val="left"/>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keepNext w:val="0"/>
        <w:keepLines w:val="0"/>
        <w:pageBreakBefore w:val="0"/>
        <w:widowControl w:val="0"/>
        <w:pBdr>
          <w:top w:val="single" w:color="auto" w:sz="4" w:space="1"/>
          <w:bottom w:val="single" w:color="auto" w:sz="4" w:space="1"/>
        </w:pBdr>
        <w:kinsoku/>
        <w:wordWrap/>
        <w:overflowPunct/>
        <w:topLinePunct w:val="0"/>
        <w:autoSpaceDE/>
        <w:autoSpaceDN/>
        <w:bidi w:val="0"/>
        <w:adjustRightInd/>
        <w:snapToGrid/>
        <w:spacing w:line="400" w:lineRule="exact"/>
        <w:ind w:firstLine="280" w:firstLineChars="100"/>
        <w:textAlignment w:val="auto"/>
        <w:rPr>
          <w:rFonts w:hint="eastAsia" w:ascii="黑体" w:hAnsi="黑体" w:eastAsia="仿宋_GB2312"/>
          <w:b w:val="0"/>
          <w:i w:val="0"/>
          <w:caps w:val="0"/>
          <w:spacing w:val="0"/>
          <w:w w:val="100"/>
          <w:sz w:val="32"/>
          <w:szCs w:val="32"/>
          <w:lang w:eastAsia="zh-CN"/>
        </w:rPr>
        <w:sectPr>
          <w:footerReference r:id="rId5" w:type="default"/>
          <w:pgSz w:w="11906" w:h="16838"/>
          <w:pgMar w:top="1440" w:right="1803" w:bottom="1440" w:left="1803" w:header="851" w:footer="992" w:gutter="0"/>
          <w:pgNumType w:fmt="numberInDash" w:start="10"/>
          <w:cols w:space="0" w:num="1"/>
          <w:rtlGutter w:val="0"/>
          <w:docGrid w:type="lines" w:linePitch="436" w:charSpace="0"/>
        </w:sectPr>
      </w:pPr>
      <w:r>
        <w:rPr>
          <w:rFonts w:hint="eastAsia" w:ascii="仿宋_GB2312" w:eastAsia="仿宋_GB2312" w:cs="仿宋_GB2312"/>
          <w:sz w:val="28"/>
          <w:szCs w:val="28"/>
        </w:rPr>
        <w:t>石城县工业和信息化局</w:t>
      </w:r>
      <w:r>
        <w:rPr>
          <w:rFonts w:ascii="仿宋_GB2312" w:eastAsia="仿宋_GB2312" w:cs="仿宋_GB2312"/>
          <w:sz w:val="28"/>
          <w:szCs w:val="28"/>
        </w:rPr>
        <w:t xml:space="preserve">               </w:t>
      </w:r>
      <w:r>
        <w:rPr>
          <w:rFonts w:hint="eastAsia" w:ascii="仿宋_GB2312" w:eastAsia="仿宋_GB2312" w:cs="仿宋_GB2312"/>
          <w:sz w:val="28"/>
          <w:szCs w:val="28"/>
          <w:lang w:val="en-US" w:eastAsia="zh-CN"/>
        </w:rPr>
        <w:t xml:space="preserve"> </w:t>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21</w:t>
      </w:r>
      <w:r>
        <w:rPr>
          <w:rFonts w:hint="eastAsia" w:ascii="仿宋_GB2312" w:eastAsia="仿宋_GB2312" w:cs="仿宋_GB2312"/>
          <w:sz w:val="28"/>
          <w:szCs w:val="28"/>
        </w:rPr>
        <w:t>年</w:t>
      </w:r>
      <w:r>
        <w:rPr>
          <w:rFonts w:hint="eastAsia" w:asciiTheme="minorEastAsia" w:hAnsiTheme="minorEastAsia" w:eastAsiaTheme="minorEastAsia" w:cstheme="minorEastAsia"/>
          <w:sz w:val="28"/>
          <w:szCs w:val="28"/>
          <w:lang w:val="en-US" w:eastAsia="zh-CN"/>
        </w:rPr>
        <w:t>3</w:t>
      </w:r>
      <w:r>
        <w:rPr>
          <w:rFonts w:hint="eastAsia" w:ascii="仿宋_GB2312" w:eastAsia="仿宋_GB2312" w:cs="仿宋_GB2312"/>
          <w:sz w:val="28"/>
          <w:szCs w:val="28"/>
        </w:rPr>
        <w:t>月</w:t>
      </w:r>
      <w:r>
        <w:rPr>
          <w:rFonts w:hint="eastAsia" w:asciiTheme="minorEastAsia" w:hAnsiTheme="minorEastAsia" w:eastAsiaTheme="minorEastAsia" w:cstheme="minorEastAsia"/>
          <w:sz w:val="28"/>
          <w:szCs w:val="28"/>
          <w:lang w:val="en-US" w:eastAsia="zh-CN"/>
        </w:rPr>
        <w:t>26</w:t>
      </w:r>
      <w:r>
        <w:rPr>
          <w:rFonts w:hint="eastAsia" w:ascii="仿宋_GB2312" w:eastAsia="仿宋_GB2312" w:cs="仿宋_GB2312"/>
          <w:sz w:val="28"/>
          <w:szCs w:val="28"/>
        </w:rPr>
        <w:t>日</w:t>
      </w:r>
      <w:r>
        <w:rPr>
          <w:rFonts w:hint="eastAsia" w:ascii="仿宋_GB2312" w:eastAsia="仿宋_GB2312" w:cs="仿宋_GB2312"/>
          <w:sz w:val="28"/>
          <w:szCs w:val="28"/>
          <w:lang w:eastAsia="zh-CN"/>
        </w:rPr>
        <w:t>印发</w:t>
      </w:r>
    </w:p>
    <w:p>
      <w:pPr>
        <w:pStyle w:val="2"/>
        <w:ind w:left="0" w:leftChars="0" w:firstLine="0" w:firstLineChars="0"/>
        <w:rPr>
          <w:rFonts w:hint="eastAsia"/>
          <w:lang w:val="en-US" w:eastAsia="zh-CN"/>
        </w:rPr>
      </w:pPr>
    </w:p>
    <w:sectPr>
      <w:footerReference r:id="rId6" w:type="default"/>
      <w:pgSz w:w="16838" w:h="11906" w:orient="landscape"/>
      <w:pgMar w:top="1803" w:right="1440" w:bottom="1803" w:left="1440" w:header="851" w:footer="992" w:gutter="0"/>
      <w:pgNumType w:fmt="numberInDash" w:start="6"/>
      <w:cols w:space="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right" w:pos="7952"/>
        <w:tab w:val="clear" w:pos="4153"/>
      </w:tabs>
      <w:ind w:right="360"/>
      <w:rPr>
        <w:rFonts w:hint="eastAsia" w:eastAsia="宋体" w:cs="Times New Roman"/>
        <w:lang w:eastAsia="zh-CN"/>
      </w:rPr>
    </w:pPr>
    <w:r>
      <w:rPr>
        <w:sz w:val="18"/>
      </w:rPr>
      <w:pict>
        <v:shape id="_x0000_s4116" o:spid="_x0000_s4116" o:spt="202" type="#_x0000_t202" style="position:absolute;left:0pt;margin-top:0pt;height:144pt;width:144pt;mso-position-horizontal:outside;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宋体"/>
                    <w:sz w:val="28"/>
                    <w:szCs w:val="28"/>
                    <w:lang w:eastAsia="zh-CN"/>
                  </w:rPr>
                </w:pPr>
              </w:p>
            </w:txbxContent>
          </v:textbox>
        </v:shape>
      </w:pict>
    </w:r>
    <w:r>
      <w:pict>
        <v:shape id="_x0000_s4117" o:spid="_x0000_s4117" o:spt="202" type="#_x0000_t202" style="position:absolute;left:0pt;margin-top:-8.8pt;height:20.75pt;width:40.05pt;mso-position-horizontal:outside;mso-position-horizontal-relative:margin;mso-wrap-style:none;z-index:251664384;mso-width-relative:page;mso-height-relative:page;" filled="f" stroked="f" coordsize="21600,21600">
          <v:path/>
          <v:fill on="f" focussize="0,0"/>
          <v:stroke on="f" joinstyle="miter"/>
          <v:imagedata o:title=""/>
          <o:lock v:ext="edit"/>
          <v:textbox inset="0mm,0mm,0mm,0mm" style="mso-fit-shape-to-text:t;">
            <w:txbxContent>
              <w:p>
                <w:pPr>
                  <w:pStyle w:val="8"/>
                  <w:rPr>
                    <w:rFonts w:ascii="宋体" w:cs="Times New Roman"/>
                    <w:sz w:val="32"/>
                    <w:szCs w:val="32"/>
                  </w:rPr>
                </w:pPr>
              </w:p>
            </w:txbxContent>
          </v:textbox>
        </v:shape>
      </w:pict>
    </w:r>
    <w:r>
      <w:rPr>
        <w:rFonts w:cs="Times New Roma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right" w:pos="7952"/>
        <w:tab w:val="clear" w:pos="4153"/>
      </w:tabs>
      <w:ind w:right="360"/>
      <w:rPr>
        <w:rFonts w:hint="eastAsia" w:eastAsia="宋体" w:cs="Times New Roman"/>
        <w:lang w:eastAsia="zh-CN"/>
      </w:rPr>
    </w:pPr>
    <w:r>
      <w:rPr>
        <w:sz w:val="18"/>
      </w:rPr>
      <w:pict>
        <v:shape id="_x0000_s4118" o:spid="_x0000_s4118" o:spt="202" type="#_x0000_t202" style="position:absolute;left:0pt;margin-top:0pt;height:144pt;width:144pt;mso-position-horizontal:outside;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w:r>
    <w:r>
      <w:rPr>
        <w:sz w:val="18"/>
      </w:rPr>
      <w:pict>
        <v:shape id="_x0000_s4119" o:spid="_x0000_s4119" o:spt="202" type="#_x0000_t202" style="position:absolute;left:0pt;margin-top:0pt;height:144pt;width:144pt;mso-position-horizontal:outside;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宋体"/>
                    <w:sz w:val="28"/>
                    <w:szCs w:val="28"/>
                    <w:lang w:eastAsia="zh-CN"/>
                  </w:rPr>
                </w:pPr>
              </w:p>
            </w:txbxContent>
          </v:textbox>
        </v:shape>
      </w:pict>
    </w:r>
    <w:r>
      <w:pict>
        <v:shape id="_x0000_s4120" o:spid="_x0000_s4120" o:spt="202" type="#_x0000_t202" style="position:absolute;left:0pt;margin-top:-8.8pt;height:20.75pt;width:40.05pt;mso-position-horizontal:outside;mso-position-horizontal-relative:margin;mso-wrap-style:none;z-index:251666432;mso-width-relative:page;mso-height-relative:page;" filled="f" stroked="f" coordsize="21600,21600">
          <v:path/>
          <v:fill on="f" focussize="0,0"/>
          <v:stroke on="f" joinstyle="miter"/>
          <v:imagedata o:title=""/>
          <o:lock v:ext="edit"/>
          <v:textbox inset="0mm,0mm,0mm,0mm" style="mso-fit-shape-to-text:t;">
            <w:txbxContent>
              <w:p>
                <w:pPr>
                  <w:pStyle w:val="8"/>
                  <w:rPr>
                    <w:rFonts w:ascii="宋体" w:cs="Times New Roman"/>
                    <w:sz w:val="32"/>
                    <w:szCs w:val="32"/>
                  </w:rPr>
                </w:pPr>
              </w:p>
            </w:txbxContent>
          </v:textbox>
        </v:shape>
      </w:pict>
    </w:r>
    <w:r>
      <w:rPr>
        <w:rFonts w:cs="Times New Roma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right" w:pos="7952"/>
        <w:tab w:val="clear" w:pos="4153"/>
      </w:tabs>
      <w:ind w:right="360" w:firstLine="360"/>
      <w:rPr>
        <w:rFonts w:hint="eastAsia" w:asciiTheme="minorEastAsia" w:hAnsiTheme="minorEastAsia" w:eastAsiaTheme="minorEastAsia" w:cstheme="minorEastAsia"/>
        <w:sz w:val="28"/>
        <w:szCs w:val="28"/>
      </w:rPr>
    </w:pPr>
    <w:r>
      <w:rPr>
        <w:sz w:val="18"/>
      </w:rPr>
      <w:pict>
        <v:shape id="_x0000_s4114" o:spid="_x0000_s4114" o:spt="202" type="#_x0000_t202" style="position:absolute;left:0pt;margin-top:0pt;height:144pt;width:144pt;mso-position-horizontal:outside;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8"/>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- 10 -</w:t>
                </w:r>
                <w:r>
                  <w:rPr>
                    <w:rFonts w:hint="eastAsia" w:ascii="宋体" w:hAnsi="宋体" w:eastAsia="宋体" w:cs="宋体"/>
                    <w:sz w:val="28"/>
                    <w:szCs w:val="28"/>
                    <w:lang w:eastAsia="zh-CN"/>
                  </w:rPr>
                  <w:fldChar w:fldCharType="end"/>
                </w:r>
              </w:p>
            </w:txbxContent>
          </v:textbox>
        </v:shape>
      </w:pict>
    </w:r>
    <w:r>
      <w:rPr>
        <w:sz w:val="18"/>
      </w:rPr>
      <w:pict>
        <v:shape id="_x0000_s4106" o:spid="_x0000_s4106" o:spt="202" type="#_x0000_t202" style="position:absolute;left:0pt;margin-top:0pt;height:144pt;width:27.75pt;mso-position-horizontal:outside;mso-position-horizontal-relative:margin;z-index:251662336;mso-width-relative:page;mso-height-relative:page;" filled="f" stroked="f" coordsize="21600,21600">
          <v:path/>
          <v:fill on="f" focussize="0,0"/>
          <v:stroke on="f"/>
          <v:imagedata o:title=""/>
          <o:lock v:ext="edit" aspectratio="f"/>
          <v:textbox inset="0mm,0mm,0mm,0mm" style="mso-fit-shape-to-text:t;">
            <w:txbxContent>
              <w:p>
                <w:pPr>
                  <w:pStyle w:val="8"/>
                  <w:rPr>
                    <w:rFonts w:hint="eastAsia" w:asciiTheme="minorEastAsia" w:hAnsiTheme="minorEastAsia" w:eastAsiaTheme="minorEastAsia" w:cstheme="minorEastAsia"/>
                    <w:sz w:val="28"/>
                    <w:szCs w:val="28"/>
                    <w:lang w:eastAsia="zh-CN"/>
                  </w:rPr>
                </w:pPr>
              </w:p>
            </w:txbxContent>
          </v:textbox>
        </v:shape>
      </w:pict>
    </w:r>
    <w:r>
      <w:pict>
        <v:shape id="_x0000_s4107" o:spid="_x0000_s4107" o:spt="202" type="#_x0000_t202" style="position:absolute;left:0pt;margin-top:-8.8pt;height:20.75pt;width:40.05pt;mso-position-horizontal:outside;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8"/>
                  <w:rPr>
                    <w:rFonts w:ascii="宋体" w:cs="Times New Roman"/>
                    <w:sz w:val="32"/>
                    <w:szCs w:val="32"/>
                  </w:rPr>
                </w:pPr>
              </w:p>
            </w:txbxContent>
          </v:textbox>
        </v:shape>
      </w:pict>
    </w:r>
    <w:r>
      <w:rPr>
        <w:rFonts w:cs="Times New Roma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right" w:pos="7952"/>
        <w:tab w:val="clear" w:pos="4153"/>
      </w:tabs>
      <w:ind w:right="360" w:firstLine="360"/>
      <w:rPr>
        <w:rFonts w:cs="Times New Roman"/>
      </w:rPr>
    </w:pPr>
    <w:r>
      <w:rPr>
        <w:sz w:val="18"/>
      </w:rPr>
      <w:pict>
        <v:shape id="_x0000_s4100" o:spid="_x0000_s4100"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宋体"/>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- 2 -</w:t>
                </w:r>
                <w:r>
                  <w:rPr>
                    <w:rFonts w:hint="eastAsia" w:asciiTheme="minorEastAsia" w:hAnsiTheme="minorEastAsia" w:eastAsiaTheme="minorEastAsia" w:cstheme="minorEastAsia"/>
                    <w:sz w:val="28"/>
                    <w:szCs w:val="28"/>
                    <w:lang w:eastAsia="zh-CN"/>
                  </w:rPr>
                  <w:fldChar w:fldCharType="end"/>
                </w:r>
              </w:p>
            </w:txbxContent>
          </v:textbox>
        </v:shape>
      </w:pict>
    </w:r>
    <w:r>
      <w:pict>
        <v:shape id="_x0000_s4101" o:spid="_x0000_s4101" o:spt="202" type="#_x0000_t202" style="position:absolute;left:0pt;margin-top:-8.8pt;height:20.75pt;width:40.05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8"/>
                  <w:rPr>
                    <w:rFonts w:ascii="宋体" w:cs="Times New Roman"/>
                    <w:sz w:val="32"/>
                    <w:szCs w:val="32"/>
                  </w:rPr>
                </w:pPr>
              </w:p>
            </w:txbxContent>
          </v:textbox>
        </v:shape>
      </w:pict>
    </w:r>
    <w:r>
      <w:rPr>
        <w:rFonts w:cs="Times New Roma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HorizontalSpacing w:val="210"/>
  <w:drawingGridVerticalSpacing w:val="218"/>
  <w:displayHorizontalDrawingGridEvery w:val="1"/>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jM3YTRmMTNhYzUwN2RiNGYzNmFmZWVjZmQyMDVmYmMifQ=="/>
  </w:docVars>
  <w:rsids>
    <w:rsidRoot w:val="00E867F2"/>
    <w:rsid w:val="00003FDF"/>
    <w:rsid w:val="00004D3C"/>
    <w:rsid w:val="0001260A"/>
    <w:rsid w:val="00017C9D"/>
    <w:rsid w:val="000237A8"/>
    <w:rsid w:val="0006078E"/>
    <w:rsid w:val="00061B8A"/>
    <w:rsid w:val="00077779"/>
    <w:rsid w:val="000834EF"/>
    <w:rsid w:val="00092308"/>
    <w:rsid w:val="00093302"/>
    <w:rsid w:val="000A7868"/>
    <w:rsid w:val="000A7CA4"/>
    <w:rsid w:val="000D0AC3"/>
    <w:rsid w:val="0010790C"/>
    <w:rsid w:val="0012687F"/>
    <w:rsid w:val="00127DEC"/>
    <w:rsid w:val="001366A8"/>
    <w:rsid w:val="00137B09"/>
    <w:rsid w:val="00142298"/>
    <w:rsid w:val="0016238F"/>
    <w:rsid w:val="001846C2"/>
    <w:rsid w:val="00184A00"/>
    <w:rsid w:val="00185035"/>
    <w:rsid w:val="0019267C"/>
    <w:rsid w:val="001A227F"/>
    <w:rsid w:val="001C0864"/>
    <w:rsid w:val="001C442A"/>
    <w:rsid w:val="001C54E6"/>
    <w:rsid w:val="001C7B86"/>
    <w:rsid w:val="001D5BCD"/>
    <w:rsid w:val="001E04E4"/>
    <w:rsid w:val="001F0358"/>
    <w:rsid w:val="001F285E"/>
    <w:rsid w:val="001F3154"/>
    <w:rsid w:val="00232985"/>
    <w:rsid w:val="002428AB"/>
    <w:rsid w:val="00252E25"/>
    <w:rsid w:val="00275DF1"/>
    <w:rsid w:val="0027724D"/>
    <w:rsid w:val="0028760A"/>
    <w:rsid w:val="002A3BA3"/>
    <w:rsid w:val="002B12D3"/>
    <w:rsid w:val="002B16E0"/>
    <w:rsid w:val="002B6BDE"/>
    <w:rsid w:val="002D0A7E"/>
    <w:rsid w:val="002E1C14"/>
    <w:rsid w:val="002F00D8"/>
    <w:rsid w:val="002F52CF"/>
    <w:rsid w:val="002F772A"/>
    <w:rsid w:val="00316CA2"/>
    <w:rsid w:val="003410BE"/>
    <w:rsid w:val="00355298"/>
    <w:rsid w:val="003620A2"/>
    <w:rsid w:val="003645FE"/>
    <w:rsid w:val="0037041C"/>
    <w:rsid w:val="00370867"/>
    <w:rsid w:val="003772F0"/>
    <w:rsid w:val="00377C58"/>
    <w:rsid w:val="003812D4"/>
    <w:rsid w:val="00383225"/>
    <w:rsid w:val="003B181A"/>
    <w:rsid w:val="003B2D0F"/>
    <w:rsid w:val="003B391D"/>
    <w:rsid w:val="003B4979"/>
    <w:rsid w:val="003C0E40"/>
    <w:rsid w:val="00400F63"/>
    <w:rsid w:val="00417C68"/>
    <w:rsid w:val="00452FCB"/>
    <w:rsid w:val="00464E76"/>
    <w:rsid w:val="00471EFD"/>
    <w:rsid w:val="00477154"/>
    <w:rsid w:val="0048714C"/>
    <w:rsid w:val="00491C62"/>
    <w:rsid w:val="004927C2"/>
    <w:rsid w:val="004A4370"/>
    <w:rsid w:val="004A6FF4"/>
    <w:rsid w:val="004D43FB"/>
    <w:rsid w:val="004F1054"/>
    <w:rsid w:val="004F2259"/>
    <w:rsid w:val="00510694"/>
    <w:rsid w:val="005119F3"/>
    <w:rsid w:val="00535784"/>
    <w:rsid w:val="00550B4D"/>
    <w:rsid w:val="0055254D"/>
    <w:rsid w:val="00555201"/>
    <w:rsid w:val="00574A5E"/>
    <w:rsid w:val="00590A08"/>
    <w:rsid w:val="00592CA8"/>
    <w:rsid w:val="005961F9"/>
    <w:rsid w:val="005A1E42"/>
    <w:rsid w:val="005B6F61"/>
    <w:rsid w:val="005C08BB"/>
    <w:rsid w:val="005C0F82"/>
    <w:rsid w:val="005D6546"/>
    <w:rsid w:val="005E5A01"/>
    <w:rsid w:val="005F2EDB"/>
    <w:rsid w:val="005F5A7C"/>
    <w:rsid w:val="00610ED1"/>
    <w:rsid w:val="006363C0"/>
    <w:rsid w:val="006371A7"/>
    <w:rsid w:val="006471A1"/>
    <w:rsid w:val="00651F0B"/>
    <w:rsid w:val="00681236"/>
    <w:rsid w:val="006960AC"/>
    <w:rsid w:val="006A0099"/>
    <w:rsid w:val="006A70EB"/>
    <w:rsid w:val="006C1934"/>
    <w:rsid w:val="006D5BE1"/>
    <w:rsid w:val="006F1CED"/>
    <w:rsid w:val="006F2B6F"/>
    <w:rsid w:val="00701C99"/>
    <w:rsid w:val="007025E8"/>
    <w:rsid w:val="007074EE"/>
    <w:rsid w:val="00710190"/>
    <w:rsid w:val="00730309"/>
    <w:rsid w:val="00735EAA"/>
    <w:rsid w:val="007534DF"/>
    <w:rsid w:val="00761A5C"/>
    <w:rsid w:val="00764F28"/>
    <w:rsid w:val="007833B3"/>
    <w:rsid w:val="00783891"/>
    <w:rsid w:val="00791661"/>
    <w:rsid w:val="007934B4"/>
    <w:rsid w:val="007A75A9"/>
    <w:rsid w:val="007B2BFC"/>
    <w:rsid w:val="007B569F"/>
    <w:rsid w:val="007C0C45"/>
    <w:rsid w:val="007D139A"/>
    <w:rsid w:val="007E27C4"/>
    <w:rsid w:val="007E3168"/>
    <w:rsid w:val="007E4CB8"/>
    <w:rsid w:val="007E5F93"/>
    <w:rsid w:val="007E6628"/>
    <w:rsid w:val="007F5C1E"/>
    <w:rsid w:val="008006E5"/>
    <w:rsid w:val="00801265"/>
    <w:rsid w:val="00801D10"/>
    <w:rsid w:val="008166E2"/>
    <w:rsid w:val="00816B23"/>
    <w:rsid w:val="0081759F"/>
    <w:rsid w:val="0082085A"/>
    <w:rsid w:val="008257FC"/>
    <w:rsid w:val="008316AC"/>
    <w:rsid w:val="0083618B"/>
    <w:rsid w:val="008367CE"/>
    <w:rsid w:val="0085018C"/>
    <w:rsid w:val="00855789"/>
    <w:rsid w:val="00877A79"/>
    <w:rsid w:val="00880954"/>
    <w:rsid w:val="008813E6"/>
    <w:rsid w:val="008864E9"/>
    <w:rsid w:val="00894856"/>
    <w:rsid w:val="008A0EB5"/>
    <w:rsid w:val="008A33AE"/>
    <w:rsid w:val="008C7EF6"/>
    <w:rsid w:val="008D23F4"/>
    <w:rsid w:val="008D330F"/>
    <w:rsid w:val="008D6623"/>
    <w:rsid w:val="008E26B0"/>
    <w:rsid w:val="008E779F"/>
    <w:rsid w:val="008F4BBA"/>
    <w:rsid w:val="0090070A"/>
    <w:rsid w:val="009012C1"/>
    <w:rsid w:val="00923472"/>
    <w:rsid w:val="00923E61"/>
    <w:rsid w:val="00926EC1"/>
    <w:rsid w:val="00927A44"/>
    <w:rsid w:val="00927F60"/>
    <w:rsid w:val="009316FC"/>
    <w:rsid w:val="00931E4A"/>
    <w:rsid w:val="00934D70"/>
    <w:rsid w:val="009435CD"/>
    <w:rsid w:val="00957ECE"/>
    <w:rsid w:val="009624CD"/>
    <w:rsid w:val="00986E6A"/>
    <w:rsid w:val="00990A2F"/>
    <w:rsid w:val="009950AA"/>
    <w:rsid w:val="009A7F5A"/>
    <w:rsid w:val="009C217A"/>
    <w:rsid w:val="009C47E9"/>
    <w:rsid w:val="009C710F"/>
    <w:rsid w:val="009D1258"/>
    <w:rsid w:val="009F0362"/>
    <w:rsid w:val="009F659B"/>
    <w:rsid w:val="00A35CFE"/>
    <w:rsid w:val="00A37712"/>
    <w:rsid w:val="00A4098C"/>
    <w:rsid w:val="00A44A98"/>
    <w:rsid w:val="00A52BB4"/>
    <w:rsid w:val="00A56A5C"/>
    <w:rsid w:val="00A61993"/>
    <w:rsid w:val="00A706FC"/>
    <w:rsid w:val="00A8612E"/>
    <w:rsid w:val="00A92226"/>
    <w:rsid w:val="00AA1327"/>
    <w:rsid w:val="00AA1400"/>
    <w:rsid w:val="00AB0469"/>
    <w:rsid w:val="00AB3ED4"/>
    <w:rsid w:val="00AB60EC"/>
    <w:rsid w:val="00AC71F6"/>
    <w:rsid w:val="00AC7271"/>
    <w:rsid w:val="00AD0EB0"/>
    <w:rsid w:val="00AD3E0E"/>
    <w:rsid w:val="00AD4E11"/>
    <w:rsid w:val="00B118E1"/>
    <w:rsid w:val="00B12DED"/>
    <w:rsid w:val="00B72477"/>
    <w:rsid w:val="00BA38BC"/>
    <w:rsid w:val="00BA58B6"/>
    <w:rsid w:val="00BB246F"/>
    <w:rsid w:val="00BB26B0"/>
    <w:rsid w:val="00BB7B52"/>
    <w:rsid w:val="00BC0392"/>
    <w:rsid w:val="00BD36A9"/>
    <w:rsid w:val="00BD5D3C"/>
    <w:rsid w:val="00BE4FB1"/>
    <w:rsid w:val="00BE5FBC"/>
    <w:rsid w:val="00BF036D"/>
    <w:rsid w:val="00BF0D6C"/>
    <w:rsid w:val="00BF5680"/>
    <w:rsid w:val="00C168FB"/>
    <w:rsid w:val="00C17E4F"/>
    <w:rsid w:val="00C20386"/>
    <w:rsid w:val="00C502F7"/>
    <w:rsid w:val="00C55299"/>
    <w:rsid w:val="00C61788"/>
    <w:rsid w:val="00C625F2"/>
    <w:rsid w:val="00C66DA0"/>
    <w:rsid w:val="00C70522"/>
    <w:rsid w:val="00C76395"/>
    <w:rsid w:val="00C809B5"/>
    <w:rsid w:val="00C94FD6"/>
    <w:rsid w:val="00CA1B30"/>
    <w:rsid w:val="00CA2412"/>
    <w:rsid w:val="00CC41EE"/>
    <w:rsid w:val="00CD21D2"/>
    <w:rsid w:val="00CE0B89"/>
    <w:rsid w:val="00CE4368"/>
    <w:rsid w:val="00D01834"/>
    <w:rsid w:val="00D05998"/>
    <w:rsid w:val="00D10BAE"/>
    <w:rsid w:val="00D20A05"/>
    <w:rsid w:val="00D27AE2"/>
    <w:rsid w:val="00D3708E"/>
    <w:rsid w:val="00D440BF"/>
    <w:rsid w:val="00D4514B"/>
    <w:rsid w:val="00D45313"/>
    <w:rsid w:val="00D50398"/>
    <w:rsid w:val="00D50540"/>
    <w:rsid w:val="00D66091"/>
    <w:rsid w:val="00D754F5"/>
    <w:rsid w:val="00D7733A"/>
    <w:rsid w:val="00DA078F"/>
    <w:rsid w:val="00DA1BA7"/>
    <w:rsid w:val="00DA29B8"/>
    <w:rsid w:val="00DA3C96"/>
    <w:rsid w:val="00DA404E"/>
    <w:rsid w:val="00DA445B"/>
    <w:rsid w:val="00DE4D22"/>
    <w:rsid w:val="00DE759D"/>
    <w:rsid w:val="00DF49AC"/>
    <w:rsid w:val="00E15A4F"/>
    <w:rsid w:val="00E20D8B"/>
    <w:rsid w:val="00E2305E"/>
    <w:rsid w:val="00E31FB3"/>
    <w:rsid w:val="00E37C61"/>
    <w:rsid w:val="00E40A9E"/>
    <w:rsid w:val="00E47546"/>
    <w:rsid w:val="00E56536"/>
    <w:rsid w:val="00E57470"/>
    <w:rsid w:val="00E833E5"/>
    <w:rsid w:val="00E85306"/>
    <w:rsid w:val="00E867F2"/>
    <w:rsid w:val="00E9765F"/>
    <w:rsid w:val="00EA16BB"/>
    <w:rsid w:val="00EC5D2D"/>
    <w:rsid w:val="00EF3020"/>
    <w:rsid w:val="00EF76A4"/>
    <w:rsid w:val="00F119D8"/>
    <w:rsid w:val="00F12263"/>
    <w:rsid w:val="00F14854"/>
    <w:rsid w:val="00F16C57"/>
    <w:rsid w:val="00F53756"/>
    <w:rsid w:val="00F60140"/>
    <w:rsid w:val="00F65C7E"/>
    <w:rsid w:val="00F77CFE"/>
    <w:rsid w:val="00F8192A"/>
    <w:rsid w:val="00F86B0B"/>
    <w:rsid w:val="00FB386F"/>
    <w:rsid w:val="00FB3B16"/>
    <w:rsid w:val="00FB6F57"/>
    <w:rsid w:val="00FC4471"/>
    <w:rsid w:val="00FC48BE"/>
    <w:rsid w:val="00FD25B3"/>
    <w:rsid w:val="00FD2828"/>
    <w:rsid w:val="00FD3B65"/>
    <w:rsid w:val="0107367A"/>
    <w:rsid w:val="01AD19EE"/>
    <w:rsid w:val="01F0131D"/>
    <w:rsid w:val="05C30651"/>
    <w:rsid w:val="073C15AB"/>
    <w:rsid w:val="07E46677"/>
    <w:rsid w:val="08EF2DFC"/>
    <w:rsid w:val="0A4423C6"/>
    <w:rsid w:val="0C137E83"/>
    <w:rsid w:val="0C7345FD"/>
    <w:rsid w:val="0CA22531"/>
    <w:rsid w:val="0D395D71"/>
    <w:rsid w:val="0FC94CD7"/>
    <w:rsid w:val="10E5272A"/>
    <w:rsid w:val="13F741D1"/>
    <w:rsid w:val="14440D51"/>
    <w:rsid w:val="15200346"/>
    <w:rsid w:val="15BE0492"/>
    <w:rsid w:val="15FF0954"/>
    <w:rsid w:val="16AE561E"/>
    <w:rsid w:val="19980417"/>
    <w:rsid w:val="1B0C59E9"/>
    <w:rsid w:val="1B3D4D0D"/>
    <w:rsid w:val="1B81301A"/>
    <w:rsid w:val="1C9A6E10"/>
    <w:rsid w:val="1D4A43A4"/>
    <w:rsid w:val="1E7F73CE"/>
    <w:rsid w:val="200D1573"/>
    <w:rsid w:val="24F11EAB"/>
    <w:rsid w:val="24F87DF6"/>
    <w:rsid w:val="29CD29F3"/>
    <w:rsid w:val="2B044CB8"/>
    <w:rsid w:val="2BB440E0"/>
    <w:rsid w:val="309833E5"/>
    <w:rsid w:val="31382776"/>
    <w:rsid w:val="35B80824"/>
    <w:rsid w:val="38DC2488"/>
    <w:rsid w:val="3A0E7320"/>
    <w:rsid w:val="3B6E5E77"/>
    <w:rsid w:val="3B844868"/>
    <w:rsid w:val="3BB0765D"/>
    <w:rsid w:val="3CC03B36"/>
    <w:rsid w:val="3F3E2DBE"/>
    <w:rsid w:val="3F466630"/>
    <w:rsid w:val="3F4736F9"/>
    <w:rsid w:val="3F4933B1"/>
    <w:rsid w:val="401E1997"/>
    <w:rsid w:val="41630592"/>
    <w:rsid w:val="441944A0"/>
    <w:rsid w:val="444F2537"/>
    <w:rsid w:val="44D36F29"/>
    <w:rsid w:val="454A7814"/>
    <w:rsid w:val="457104DD"/>
    <w:rsid w:val="473D698D"/>
    <w:rsid w:val="4AFC71E5"/>
    <w:rsid w:val="4BD41311"/>
    <w:rsid w:val="4C3902DE"/>
    <w:rsid w:val="4CA76266"/>
    <w:rsid w:val="4E406A31"/>
    <w:rsid w:val="4EC54E13"/>
    <w:rsid w:val="4F333B50"/>
    <w:rsid w:val="50D87C04"/>
    <w:rsid w:val="51956DDB"/>
    <w:rsid w:val="525C3904"/>
    <w:rsid w:val="538C617A"/>
    <w:rsid w:val="557A6C70"/>
    <w:rsid w:val="570F71D5"/>
    <w:rsid w:val="589B1E7C"/>
    <w:rsid w:val="591165AB"/>
    <w:rsid w:val="592E384B"/>
    <w:rsid w:val="5A3707D2"/>
    <w:rsid w:val="5B276EB9"/>
    <w:rsid w:val="5C0C4F40"/>
    <w:rsid w:val="5C970112"/>
    <w:rsid w:val="5D740606"/>
    <w:rsid w:val="60193D12"/>
    <w:rsid w:val="60536B3B"/>
    <w:rsid w:val="60BB267F"/>
    <w:rsid w:val="634F7F63"/>
    <w:rsid w:val="63DB654D"/>
    <w:rsid w:val="63DC6AED"/>
    <w:rsid w:val="644F6662"/>
    <w:rsid w:val="649852B7"/>
    <w:rsid w:val="6510172B"/>
    <w:rsid w:val="65E97B83"/>
    <w:rsid w:val="66F05A34"/>
    <w:rsid w:val="6860039D"/>
    <w:rsid w:val="6909336A"/>
    <w:rsid w:val="69506EA6"/>
    <w:rsid w:val="6B5B2898"/>
    <w:rsid w:val="6D1C29E5"/>
    <w:rsid w:val="6E0B600D"/>
    <w:rsid w:val="6E9C6814"/>
    <w:rsid w:val="6ECA2B50"/>
    <w:rsid w:val="712E44E7"/>
    <w:rsid w:val="71446B56"/>
    <w:rsid w:val="716E0785"/>
    <w:rsid w:val="71733012"/>
    <w:rsid w:val="764757F5"/>
    <w:rsid w:val="768D0462"/>
    <w:rsid w:val="76935E59"/>
    <w:rsid w:val="776A6D9D"/>
    <w:rsid w:val="77BD61BE"/>
    <w:rsid w:val="78C50CE4"/>
    <w:rsid w:val="7D7F726C"/>
    <w:rsid w:val="7E35657F"/>
    <w:rsid w:val="7E3702D3"/>
    <w:rsid w:val="7EC911A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2"/>
    <w:qFormat/>
    <w:uiPriority w:val="0"/>
    <w:pPr>
      <w:widowControl w:val="0"/>
      <w:jc w:val="both"/>
    </w:pPr>
    <w:rPr>
      <w:rFonts w:ascii="Calibri" w:hAnsi="Calibri" w:eastAsia="宋体" w:cs="Calibri"/>
      <w:kern w:val="2"/>
      <w:sz w:val="21"/>
      <w:szCs w:val="21"/>
      <w:lang w:val="en-US" w:eastAsia="zh-CN" w:bidi="ar-SA"/>
    </w:rPr>
  </w:style>
  <w:style w:type="character" w:default="1" w:styleId="14">
    <w:name w:val="Default Paragraph Font"/>
    <w:semiHidden/>
    <w:qFormat/>
    <w:uiPriority w:val="99"/>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next w:val="4"/>
    <w:qFormat/>
    <w:uiPriority w:val="99"/>
    <w:pPr>
      <w:spacing w:line="300" w:lineRule="auto"/>
      <w:ind w:firstLine="200"/>
    </w:pPr>
    <w:rPr>
      <w:sz w:val="28"/>
      <w:szCs w:val="28"/>
    </w:rPr>
  </w:style>
  <w:style w:type="paragraph" w:styleId="4">
    <w:name w:val="Normal Indent"/>
    <w:basedOn w:val="1"/>
    <w:next w:val="1"/>
    <w:qFormat/>
    <w:uiPriority w:val="99"/>
    <w:pPr>
      <w:ind w:firstLine="420" w:firstLineChars="200"/>
    </w:pPr>
    <w:rPr>
      <w:rFonts w:eastAsia="仿宋"/>
      <w:sz w:val="32"/>
      <w:szCs w:val="32"/>
    </w:rPr>
  </w:style>
  <w:style w:type="paragraph" w:styleId="5">
    <w:name w:val="Body Text"/>
    <w:basedOn w:val="1"/>
    <w:qFormat/>
    <w:uiPriority w:val="0"/>
    <w:pPr>
      <w:spacing w:after="120" w:afterLines="0"/>
    </w:pPr>
  </w:style>
  <w:style w:type="paragraph" w:styleId="6">
    <w:name w:val="Plain Text"/>
    <w:basedOn w:val="1"/>
    <w:link w:val="16"/>
    <w:qFormat/>
    <w:uiPriority w:val="99"/>
    <w:rPr>
      <w:rFonts w:ascii="宋体" w:hAnsi="Courier New" w:cs="宋体"/>
    </w:rPr>
  </w:style>
  <w:style w:type="paragraph" w:styleId="7">
    <w:name w:val="Date"/>
    <w:basedOn w:val="1"/>
    <w:next w:val="1"/>
    <w:link w:val="17"/>
    <w:semiHidden/>
    <w:qFormat/>
    <w:uiPriority w:val="99"/>
    <w:pPr>
      <w:ind w:left="100" w:leftChars="2500"/>
    </w:pPr>
  </w:style>
  <w:style w:type="paragraph" w:styleId="8">
    <w:name w:val="footer"/>
    <w:basedOn w:val="1"/>
    <w:link w:val="18"/>
    <w:semiHidden/>
    <w:qFormat/>
    <w:uiPriority w:val="99"/>
    <w:pPr>
      <w:tabs>
        <w:tab w:val="center" w:pos="4153"/>
        <w:tab w:val="right" w:pos="8306"/>
      </w:tabs>
      <w:snapToGrid w:val="0"/>
      <w:jc w:val="left"/>
    </w:pPr>
    <w:rPr>
      <w:sz w:val="18"/>
      <w:szCs w:val="18"/>
    </w:rPr>
  </w:style>
  <w:style w:type="paragraph" w:styleId="9">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10">
    <w:name w:val="HTML Preformatted"/>
    <w:basedOn w:val="1"/>
    <w:link w:val="20"/>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3">
    <w:name w:val="Table Grid"/>
    <w:basedOn w:val="12"/>
    <w:qFormat/>
    <w:locked/>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5">
    <w:name w:val="page number"/>
    <w:basedOn w:val="14"/>
    <w:qFormat/>
    <w:uiPriority w:val="99"/>
  </w:style>
  <w:style w:type="character" w:customStyle="1" w:styleId="16">
    <w:name w:val="Plain Text Char"/>
    <w:basedOn w:val="14"/>
    <w:link w:val="6"/>
    <w:semiHidden/>
    <w:qFormat/>
    <w:uiPriority w:val="99"/>
    <w:rPr>
      <w:rFonts w:ascii="宋体" w:hAnsi="Courier New" w:cs="Courier New"/>
      <w:szCs w:val="21"/>
    </w:rPr>
  </w:style>
  <w:style w:type="character" w:customStyle="1" w:styleId="17">
    <w:name w:val="Date Char"/>
    <w:basedOn w:val="14"/>
    <w:link w:val="7"/>
    <w:semiHidden/>
    <w:qFormat/>
    <w:locked/>
    <w:uiPriority w:val="99"/>
  </w:style>
  <w:style w:type="character" w:customStyle="1" w:styleId="18">
    <w:name w:val="Footer Char"/>
    <w:basedOn w:val="14"/>
    <w:link w:val="8"/>
    <w:semiHidden/>
    <w:qFormat/>
    <w:locked/>
    <w:uiPriority w:val="99"/>
    <w:rPr>
      <w:sz w:val="18"/>
      <w:szCs w:val="18"/>
    </w:rPr>
  </w:style>
  <w:style w:type="character" w:customStyle="1" w:styleId="19">
    <w:name w:val="Header Char"/>
    <w:basedOn w:val="14"/>
    <w:link w:val="9"/>
    <w:semiHidden/>
    <w:locked/>
    <w:uiPriority w:val="99"/>
    <w:rPr>
      <w:sz w:val="18"/>
      <w:szCs w:val="18"/>
    </w:rPr>
  </w:style>
  <w:style w:type="character" w:customStyle="1" w:styleId="20">
    <w:name w:val="HTML Preformatted Char"/>
    <w:basedOn w:val="14"/>
    <w:link w:val="10"/>
    <w:qFormat/>
    <w:locked/>
    <w:uiPriority w:val="99"/>
    <w:rPr>
      <w:rFonts w:ascii="宋体" w:hAnsi="宋体" w:eastAsia="宋体" w:cs="宋体"/>
      <w:sz w:val="24"/>
      <w:szCs w:val="24"/>
      <w:lang w:val="en-US" w:eastAsia="zh-CN"/>
    </w:rPr>
  </w:style>
  <w:style w:type="paragraph" w:styleId="21">
    <w:name w:val="List Paragraph"/>
    <w:basedOn w:val="1"/>
    <w:qFormat/>
    <w:uiPriority w:val="99"/>
    <w:pPr>
      <w:ind w:firstLine="420" w:firstLineChars="200"/>
    </w:pPr>
  </w:style>
  <w:style w:type="character" w:customStyle="1" w:styleId="22">
    <w:name w:val="NormalCharacter"/>
    <w:link w:val="1"/>
    <w:semiHidden/>
    <w:qFormat/>
    <w:uiPriority w:val="0"/>
    <w:rPr>
      <w:rFonts w:ascii="Calibri" w:hAnsi="Calibri" w:eastAsia="宋体" w:cs="Calibri"/>
      <w:kern w:val="2"/>
      <w:sz w:val="21"/>
      <w:szCs w:val="21"/>
      <w:lang w:val="en-US" w:eastAsia="zh-CN" w:bidi="ar-SA"/>
    </w:rPr>
  </w:style>
  <w:style w:type="paragraph" w:customStyle="1" w:styleId="23">
    <w:name w:val="Normal Indent"/>
    <w:basedOn w:val="1"/>
    <w:qFormat/>
    <w:uiPriority w:val="0"/>
    <w:pPr>
      <w:ind w:firstLine="420" w:firstLineChars="200"/>
    </w:pPr>
    <w:rPr>
      <w:rFonts w:eastAsia="仿宋"/>
      <w:sz w:val="32"/>
    </w:rPr>
  </w:style>
  <w:style w:type="character" w:customStyle="1" w:styleId="24">
    <w:name w:val="font51"/>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4116" textRotate="1"/>
    <customShpInfo spid="_x0000_s4117"/>
    <customShpInfo spid="_x0000_s4118" textRotate="1"/>
    <customShpInfo spid="_x0000_s4119" textRotate="1"/>
    <customShpInfo spid="_x0000_s4120"/>
    <customShpInfo spid="_x0000_s4114" textRotate="1"/>
    <customShpInfo spid="_x0000_s4106" textRotate="1"/>
    <customShpInfo spid="_x0000_s4107"/>
    <customShpInfo spid="_x0000_s4100" textRotate="1"/>
    <customShpInfo spid="_x0000_s410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Sky123.Org</Company>
  <Pages>11</Pages>
  <Words>4598</Words>
  <Characters>4692</Characters>
  <Lines>0</Lines>
  <Paragraphs>0</Paragraphs>
  <TotalTime>12</TotalTime>
  <ScaleCrop>false</ScaleCrop>
  <LinksUpToDate>false</LinksUpToDate>
  <CharactersWithSpaces>4737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2017-02-20T02:22:00Z</dcterms:created>
  <dc:creator>Administrator</dc:creator>
  <cp:lastModifiedBy>陈新勇</cp:lastModifiedBy>
  <cp:lastPrinted>2021-04-26T08:46:00Z</cp:lastPrinted>
  <dcterms:modified xsi:type="dcterms:W3CDTF">2025-01-03T07:03:42Z</dcterms:modified>
  <dc:title>石工信发【2014】21号</dc:title>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0FA65283C4C049F391C29D17EC6761BA</vt:lpwstr>
  </property>
</Properties>
</file>