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宋体" w:hAnsi="宋体" w:eastAsia="方正小标宋简体" w:cs="方正小标宋简体"/>
          <w:kern w:val="0"/>
          <w:sz w:val="44"/>
          <w:szCs w:val="44"/>
        </w:rPr>
      </w:pPr>
      <w:bookmarkStart w:id="0" w:name="_GoBack"/>
      <w:r>
        <w:rPr>
          <w:rFonts w:hint="eastAsia" w:ascii="宋体" w:hAnsi="宋体" w:eastAsia="方正小标宋简体" w:cs="方正小标宋简体"/>
          <w:kern w:val="0"/>
          <w:sz w:val="44"/>
          <w:szCs w:val="44"/>
        </w:rPr>
        <w:t>石城县工业产业链链长制工作方案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宋体" w:hAnsi="宋体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宋体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为深入</w:t>
      </w:r>
      <w:r>
        <w:rPr>
          <w:rFonts w:hint="eastAsia" w:ascii="仿宋_GB2312" w:hAnsi="仿宋_GB2312" w:eastAsia="仿宋_GB2312" w:cs="仿宋_GB2312"/>
          <w:sz w:val="32"/>
          <w:szCs w:val="32"/>
        </w:rPr>
        <w:t>贯彻工业强省战略，</w:t>
      </w:r>
      <w:r>
        <w:rPr>
          <w:rFonts w:hint="eastAsia" w:ascii="宋体" w:hAnsi="宋体" w:eastAsia="仿宋_GB2312" w:cs="仿宋_GB2312"/>
          <w:kern w:val="0"/>
          <w:sz w:val="32"/>
          <w:szCs w:val="32"/>
        </w:rPr>
        <w:t>进一步完善提升产业链链长制运行机制，推动链长制工作走深走实、提标提档，制定本工作方案。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宋体" w:hAnsi="宋体" w:eastAsia="黑体"/>
          <w:kern w:val="0"/>
          <w:sz w:val="32"/>
          <w:szCs w:val="32"/>
        </w:rPr>
      </w:pPr>
      <w:r>
        <w:rPr>
          <w:rFonts w:hint="eastAsia" w:ascii="宋体" w:hAnsi="宋体" w:eastAsia="黑体" w:cs="黑体"/>
          <w:kern w:val="0"/>
          <w:sz w:val="32"/>
          <w:szCs w:val="32"/>
        </w:rPr>
        <w:t>一、总体思路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宋体" w:hAnsi="宋体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宋体" w:hAnsi="宋体" w:eastAsia="仿宋_GB2312" w:cs="仿宋_GB2312"/>
          <w:color w:val="000000"/>
          <w:kern w:val="0"/>
          <w:sz w:val="32"/>
          <w:szCs w:val="32"/>
        </w:rPr>
        <w:t>以习近平新时代中国特色社会主义思想为指导，全面贯彻党的十九大和十九届历次全会精神，全面落实省第十五次党代会部署要求，强化系统观念、问题导向、分类施策，从产业链发展急迫需要和长远需求出发，围绕产业链布局供应链、创新链、资金链、政策链、责任链，聚合政府、市场、社会力量促进产业链供应链现代化高级化，不断增强产业链供应链稳定性和竞争力，</w:t>
      </w:r>
      <w:r>
        <w:rPr>
          <w:rFonts w:hint="eastAsia" w:ascii="仿宋_GB2312" w:hAnsi="仿宋_GB2312" w:eastAsia="仿宋_GB2312" w:cs="仿宋_GB2312"/>
          <w:sz w:val="32"/>
          <w:szCs w:val="32"/>
        </w:rPr>
        <w:t>切实推动我县工业高质量、跨越式发展，</w:t>
      </w:r>
      <w:r>
        <w:rPr>
          <w:rFonts w:hint="eastAsia" w:ascii="宋体" w:hAnsi="宋体" w:eastAsia="仿宋_GB2312" w:cs="仿宋_GB2312"/>
          <w:color w:val="000000"/>
          <w:kern w:val="0"/>
          <w:sz w:val="32"/>
          <w:szCs w:val="32"/>
        </w:rPr>
        <w:t>为建设富裕美丽温暖的社会主义现代化石城提供坚强支撑。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宋体" w:hAnsi="宋体" w:eastAsia="黑体"/>
          <w:kern w:val="0"/>
          <w:sz w:val="32"/>
          <w:szCs w:val="32"/>
        </w:rPr>
      </w:pPr>
      <w:r>
        <w:rPr>
          <w:rFonts w:hint="eastAsia" w:ascii="宋体" w:hAnsi="宋体" w:eastAsia="黑体" w:cs="黑体"/>
          <w:kern w:val="0"/>
          <w:sz w:val="32"/>
          <w:szCs w:val="32"/>
        </w:rPr>
        <w:t>二、工作目标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宋体" w:hAnsi="宋体" w:eastAsia="仿宋_GB2312" w:cs="仿宋_GB2312"/>
          <w:kern w:val="0"/>
          <w:sz w:val="32"/>
          <w:szCs w:val="32"/>
        </w:rPr>
      </w:pPr>
      <w:r>
        <w:rPr>
          <w:rFonts w:hint="eastAsia" w:ascii="宋体" w:hAnsi="宋体" w:eastAsia="仿宋_GB2312" w:cs="仿宋_GB2312"/>
          <w:color w:val="000000"/>
          <w:kern w:val="0"/>
          <w:sz w:val="32"/>
          <w:szCs w:val="32"/>
        </w:rPr>
        <w:t>聚焦集群发展，</w:t>
      </w:r>
      <w:r>
        <w:rPr>
          <w:rFonts w:hint="eastAsia" w:ascii="宋体" w:hAnsi="宋体" w:eastAsia="仿宋_GB2312" w:cs="仿宋_GB2312"/>
          <w:kern w:val="0"/>
          <w:sz w:val="32"/>
          <w:szCs w:val="32"/>
        </w:rPr>
        <w:t>做大产业规模，提升产业水平，重点承接沿海地区品牌鞋服企业转移，</w:t>
      </w:r>
      <w:r>
        <w:rPr>
          <w:rFonts w:hint="eastAsia" w:eastAsia="仿宋_GB2312"/>
          <w:bCs/>
          <w:kern w:val="0"/>
          <w:sz w:val="32"/>
          <w:szCs w:val="32"/>
        </w:rPr>
        <w:t>在着力壮大现代品牌鞋服首位产业的同时，稳步推进硅精深加工、新型机械制造、绿色食品加工、新能源产业发展，构建高质量产业体系</w:t>
      </w:r>
      <w:r>
        <w:rPr>
          <w:rFonts w:hint="eastAsia" w:ascii="宋体" w:hAnsi="宋体" w:eastAsia="仿宋_GB2312" w:cs="仿宋_GB2312"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宋体" w:hAnsi="宋体" w:eastAsia="黑体"/>
          <w:kern w:val="0"/>
          <w:sz w:val="32"/>
          <w:szCs w:val="32"/>
        </w:rPr>
      </w:pPr>
      <w:r>
        <w:rPr>
          <w:rFonts w:hint="eastAsia" w:ascii="宋体" w:hAnsi="宋体" w:eastAsia="黑体" w:cs="黑体"/>
          <w:kern w:val="0"/>
          <w:sz w:val="32"/>
          <w:szCs w:val="32"/>
        </w:rPr>
        <w:t>三、重点任务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</w:pPr>
      <w:r>
        <w:rPr>
          <w:rFonts w:hint="eastAsia" w:ascii="宋体" w:hAnsi="宋体" w:eastAsia="楷体_GB2312" w:cs="楷体_GB2312"/>
          <w:bCs/>
          <w:kern w:val="0"/>
          <w:sz w:val="32"/>
          <w:szCs w:val="32"/>
        </w:rPr>
        <w:t>（一）现代品牌鞋服产业。</w:t>
      </w:r>
      <w:r>
        <w:rPr>
          <w:rFonts w:hint="eastAsia" w:ascii="仿宋_GB2312" w:hAnsi="仿宋_GB2312" w:eastAsia="仿宋_GB2312" w:cs="仿宋_GB2312"/>
          <w:sz w:val="32"/>
          <w:szCs w:val="32"/>
        </w:rPr>
        <w:t>积极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对接粤港澳大湾区、海西经济区、长三角等区域，</w:t>
      </w:r>
      <w:r>
        <w:rPr>
          <w:rFonts w:hint="eastAsia" w:ascii="仿宋_GB2312" w:hAnsi="仿宋_GB2312" w:eastAsia="仿宋_GB2312" w:cs="仿宋_GB2312"/>
          <w:sz w:val="32"/>
          <w:szCs w:val="32"/>
        </w:rPr>
        <w:t>着力引进研发设计、鞋底、鞋饰、鞋面、鞋材贸易、鞋机生产维修等上游企业，同时引进品牌营销、出口贸易、电子商务、体育运动、健康休闲等下游企业，完善整个鞋服产业生态链。抓好智能服务平台及公共配套设施建设，建成鞋服电商公共服务中心。扎实开展鞋服产业人才培训，促进与江西服装学院合作，探索在鞋服生产企业设立实训基地，强化校企合作、产教联盟效果。积极申报省级品牌运动鞋服制造基地，力争</w:t>
      </w:r>
      <w:r>
        <w:rPr>
          <w:rFonts w:hint="eastAsia" w:ascii="宋体" w:hAnsi="宋体" w:cs="宋体"/>
          <w:sz w:val="32"/>
          <w:szCs w:val="32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年引进</w:t>
      </w:r>
      <w:r>
        <w:rPr>
          <w:rFonts w:hint="eastAsia" w:ascii="宋体" w:hAnsi="宋体" w:cs="宋体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家综合性品牌运营公司，培育</w:t>
      </w:r>
      <w:r>
        <w:rPr>
          <w:rFonts w:hint="eastAsia" w:ascii="宋体" w:hAnsi="宋体" w:cs="宋体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家</w:t>
      </w:r>
      <w:r>
        <w:rPr>
          <w:rFonts w:hint="eastAsia" w:ascii="宋体" w:hAnsi="宋体" w:cs="宋体"/>
          <w:sz w:val="32"/>
          <w:szCs w:val="32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亿元企业，鞋服产业总产值达</w:t>
      </w:r>
      <w:r>
        <w:rPr>
          <w:rFonts w:hint="eastAsia" w:ascii="宋体" w:hAnsi="宋体" w:cs="宋体"/>
          <w:sz w:val="32"/>
          <w:szCs w:val="32"/>
        </w:rPr>
        <w:t>170</w:t>
      </w:r>
      <w:r>
        <w:rPr>
          <w:rFonts w:hint="eastAsia" w:ascii="仿宋_GB2312" w:hAnsi="仿宋_GB2312" w:eastAsia="仿宋_GB2312" w:cs="仿宋_GB2312"/>
          <w:sz w:val="32"/>
          <w:szCs w:val="32"/>
        </w:rPr>
        <w:t>亿元以上，规上鞋服企业达</w:t>
      </w:r>
      <w:r>
        <w:rPr>
          <w:rFonts w:hint="eastAsia" w:ascii="宋体" w:hAnsi="宋体" w:cs="宋体"/>
          <w:sz w:val="32"/>
          <w:szCs w:val="32"/>
        </w:rPr>
        <w:t>45</w:t>
      </w:r>
      <w:r>
        <w:rPr>
          <w:rFonts w:hint="eastAsia" w:ascii="仿宋_GB2312" w:hAnsi="仿宋_GB2312" w:eastAsia="仿宋_GB2312" w:cs="仿宋_GB2312"/>
          <w:sz w:val="32"/>
          <w:szCs w:val="32"/>
        </w:rPr>
        <w:t>家。力争</w:t>
      </w:r>
      <w:r>
        <w:rPr>
          <w:rFonts w:hint="eastAsia" w:ascii="宋体" w:hAnsi="宋体" w:cs="宋体"/>
          <w:sz w:val="32"/>
          <w:szCs w:val="32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年鞋服产业总产值达</w:t>
      </w:r>
      <w:r>
        <w:rPr>
          <w:rFonts w:hint="eastAsia" w:ascii="宋体" w:hAnsi="宋体" w:cs="宋体"/>
          <w:sz w:val="32"/>
          <w:szCs w:val="32"/>
        </w:rPr>
        <w:t>300</w:t>
      </w:r>
      <w:r>
        <w:rPr>
          <w:rFonts w:hint="eastAsia" w:ascii="仿宋_GB2312" w:hAnsi="仿宋_GB2312" w:eastAsia="仿宋_GB2312" w:cs="仿宋_GB2312"/>
          <w:sz w:val="32"/>
          <w:szCs w:val="32"/>
        </w:rPr>
        <w:t>亿元以上。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</w:pPr>
      <w:r>
        <w:rPr>
          <w:rFonts w:hint="eastAsia" w:ascii="宋体" w:hAnsi="宋体" w:eastAsia="楷体_GB2312" w:cs="楷体_GB2312"/>
          <w:bCs/>
          <w:kern w:val="0"/>
          <w:sz w:val="32"/>
          <w:szCs w:val="32"/>
        </w:rPr>
        <w:t>（二）新型机械制造产业。</w:t>
      </w:r>
      <w:r>
        <w:rPr>
          <w:rFonts w:hint="eastAsia" w:ascii="仿宋_GB2312" w:hAnsi="仿宋_GB2312" w:eastAsia="仿宋_GB2312" w:cs="仿宋_GB2312"/>
          <w:sz w:val="32"/>
          <w:szCs w:val="32"/>
        </w:rPr>
        <w:t>引导和支持矿山机械制造业转型发展，鼓励企业应用新技术，开发新产品，提升竞争力；引进精密机床制造企业，以轴瓦、齿轮、电机、铸造、铸钢、玻纤为重点，引进上下游配套企业。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实施技术改造工程，加强校企合作，引导矿山机械产业向大型化、智能化、清洁化、自动化生产</w:t>
      </w:r>
      <w:r>
        <w:rPr>
          <w:rFonts w:hint="eastAsia" w:ascii="仿宋_GB2312" w:hAnsi="仿宋_GB2312" w:eastAsia="仿宋_GB2312" w:cs="仿宋_GB2312"/>
          <w:sz w:val="32"/>
          <w:szCs w:val="32"/>
        </w:rPr>
        <w:t>方向发展，力争每年引进机械制造企业1家以上。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eastAsia="楷体_GB2312" w:cs="楷体_GB2312"/>
          <w:bCs/>
          <w:kern w:val="0"/>
          <w:sz w:val="32"/>
          <w:szCs w:val="32"/>
        </w:rPr>
        <w:t>（三）绿色食品产业。</w:t>
      </w:r>
      <w:r>
        <w:rPr>
          <w:rFonts w:hint="eastAsia" w:ascii="仿宋_GB2312" w:hAnsi="仿宋_GB2312" w:eastAsia="仿宋_GB2312" w:cs="仿宋_GB2312"/>
          <w:sz w:val="32"/>
          <w:szCs w:val="32"/>
        </w:rPr>
        <w:t>加大绿色食品加工产业发展力度，做优做强绿色食品基地品牌，切实将资源优势转化为经济发展优势。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有效对接大专院校等科研院所，积极推动白莲产品等深加工研究开发，充分利用其科研成果引进系列深加工企业，提升产品附加值。</w:t>
      </w:r>
      <w:r>
        <w:rPr>
          <w:rFonts w:hint="eastAsia" w:eastAsia="仿宋_GB2312"/>
          <w:bCs/>
          <w:kern w:val="0"/>
          <w:sz w:val="32"/>
          <w:szCs w:val="32"/>
        </w:rPr>
        <w:t>依托大由大食品、德都食品等企业</w:t>
      </w:r>
      <w:r>
        <w:rPr>
          <w:rFonts w:eastAsia="仿宋_GB2312"/>
          <w:bCs/>
          <w:kern w:val="0"/>
          <w:sz w:val="32"/>
          <w:szCs w:val="32"/>
        </w:rPr>
        <w:t>，</w:t>
      </w:r>
      <w:r>
        <w:rPr>
          <w:rFonts w:hint="eastAsia" w:eastAsia="仿宋_GB2312"/>
          <w:bCs/>
          <w:kern w:val="0"/>
          <w:sz w:val="32"/>
          <w:szCs w:val="32"/>
        </w:rPr>
        <w:t>建立从原料控制、食品加工制造、食品包装、装备制造、安全控制、物流配送和终端销售等方面的完整食品产业链，实现产供销一体化。</w:t>
      </w:r>
      <w:r>
        <w:rPr>
          <w:rFonts w:hint="eastAsia" w:ascii="仿宋_GB2312" w:hAnsi="仿宋_GB2312" w:eastAsia="仿宋_GB2312" w:cs="仿宋_GB2312"/>
          <w:sz w:val="32"/>
          <w:szCs w:val="32"/>
        </w:rPr>
        <w:t>力争每年引进食品加工企业</w:t>
      </w:r>
      <w:r>
        <w:rPr>
          <w:rFonts w:hint="eastAsia" w:ascii="宋体" w:hAnsi="宋体" w:cs="宋体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家以上。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eastAsia="楷体_GB2312" w:cs="楷体_GB2312"/>
          <w:bCs/>
          <w:kern w:val="0"/>
          <w:sz w:val="32"/>
          <w:szCs w:val="32"/>
        </w:rPr>
        <w:t>（四）硅精深加工产业。</w:t>
      </w:r>
      <w:r>
        <w:rPr>
          <w:rFonts w:hint="eastAsia" w:ascii="仿宋_GB2312" w:hAnsi="仿宋_GB2312" w:eastAsia="仿宋_GB2312" w:cs="仿宋_GB2312"/>
          <w:sz w:val="32"/>
          <w:szCs w:val="32"/>
        </w:rPr>
        <w:t>有序推进硅石、萤石、钽铌、钾长石等矿产资源开采和精深加工。重点在硅加工业上做文章，推动江西吉耀精硅高新材料有限公司项目尽快投产，加快建设硅产业园，着力打造硅精深加工百亿集群产业基地。围绕单晶硅、多晶硅、光伏玻璃、药玻等系列产业开展延链、强链式招商，逐步完善硅产业链条，提高附加值，力争每年引进硅精深加工企业</w:t>
      </w:r>
      <w:r>
        <w:rPr>
          <w:rFonts w:hint="eastAsia" w:ascii="宋体" w:hAnsi="宋体" w:cs="宋体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家以上。力争</w:t>
      </w:r>
      <w:r>
        <w:rPr>
          <w:rFonts w:hint="eastAsia" w:ascii="宋体" w:hAnsi="宋体" w:cs="宋体"/>
          <w:sz w:val="32"/>
          <w:szCs w:val="32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年硅产业总产值达</w:t>
      </w:r>
      <w:r>
        <w:rPr>
          <w:rFonts w:hint="eastAsia" w:ascii="宋体" w:hAnsi="宋体" w:cs="宋体"/>
          <w:sz w:val="32"/>
          <w:szCs w:val="32"/>
        </w:rPr>
        <w:t>100</w:t>
      </w:r>
      <w:r>
        <w:rPr>
          <w:rFonts w:hint="eastAsia" w:ascii="仿宋_GB2312" w:hAnsi="仿宋_GB2312" w:eastAsia="仿宋_GB2312" w:cs="仿宋_GB2312"/>
          <w:sz w:val="32"/>
          <w:szCs w:val="32"/>
        </w:rPr>
        <w:t>亿元以上。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eastAsia="楷体_GB2312" w:cs="楷体_GB2312"/>
          <w:bCs/>
          <w:kern w:val="0"/>
          <w:sz w:val="32"/>
          <w:szCs w:val="32"/>
        </w:rPr>
        <w:t>（五）新能源产业。</w:t>
      </w:r>
      <w:r>
        <w:rPr>
          <w:rFonts w:hint="eastAsia" w:ascii="仿宋_GB2312" w:hAnsi="仿宋_GB2312" w:eastAsia="仿宋_GB2312" w:cs="仿宋_GB2312"/>
          <w:sz w:val="32"/>
          <w:szCs w:val="32"/>
        </w:rPr>
        <w:t>加快推广光伏、风能、生物质能等清洁能源，引进一批有实力的新能源企业，加快新能源产业发展。加快建设再生资源回收利用体系，培育行业龙头骨干企业。力争每年引进新能源企业</w:t>
      </w:r>
      <w:r>
        <w:rPr>
          <w:rFonts w:hint="eastAsia" w:ascii="宋体" w:hAnsi="宋体" w:cs="宋体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家以上。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宋体" w:hAnsi="宋体" w:eastAsia="黑体"/>
          <w:kern w:val="0"/>
          <w:sz w:val="32"/>
          <w:szCs w:val="32"/>
        </w:rPr>
      </w:pPr>
      <w:r>
        <w:rPr>
          <w:rFonts w:hint="eastAsia" w:ascii="宋体" w:hAnsi="宋体" w:eastAsia="黑体" w:cs="黑体"/>
          <w:kern w:val="0"/>
          <w:sz w:val="32"/>
          <w:szCs w:val="32"/>
        </w:rPr>
        <w:t>四、工作措施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宋体" w:hAnsi="宋体" w:eastAsia="仿宋_GB2312" w:cs="仿宋_GB2312"/>
          <w:kern w:val="0"/>
          <w:sz w:val="32"/>
          <w:szCs w:val="32"/>
        </w:rPr>
      </w:pPr>
      <w:r>
        <w:rPr>
          <w:rFonts w:hint="eastAsia" w:ascii="宋体" w:hAnsi="宋体" w:eastAsia="楷体_GB2312" w:cs="楷体_GB2312"/>
          <w:bCs/>
          <w:kern w:val="0"/>
          <w:sz w:val="32"/>
          <w:szCs w:val="32"/>
        </w:rPr>
        <w:t>（一）坚持项目为王做大总量。</w:t>
      </w:r>
      <w:r>
        <w:rPr>
          <w:rFonts w:hint="eastAsia" w:ascii="宋体" w:hAnsi="宋体" w:eastAsia="仿宋_GB2312" w:cs="仿宋_GB2312"/>
          <w:kern w:val="0"/>
          <w:sz w:val="32"/>
          <w:szCs w:val="32"/>
        </w:rPr>
        <w:t>聚焦项目建设难点堵点，以实施“项目大会战”为牵引，建立产业链重点项目建设库，实行清单化管理、立体化保障、精细化服务“三化联动”，高质量高效率推进项目建设，推动产业项目快建设快投产快达效。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宋体" w:hAnsi="宋体" w:eastAsia="仿宋_GB2312" w:cs="仿宋_GB2312"/>
          <w:kern w:val="0"/>
          <w:sz w:val="32"/>
          <w:szCs w:val="32"/>
        </w:rPr>
      </w:pPr>
      <w:r>
        <w:rPr>
          <w:rFonts w:hint="eastAsia" w:ascii="宋体" w:hAnsi="宋体" w:eastAsia="楷体_GB2312" w:cs="楷体_GB2312"/>
          <w:bCs/>
          <w:kern w:val="0"/>
          <w:sz w:val="32"/>
          <w:szCs w:val="32"/>
        </w:rPr>
        <w:t>（二）坚持改造提升做优存量。</w:t>
      </w:r>
      <w:r>
        <w:rPr>
          <w:rFonts w:hint="eastAsia" w:ascii="宋体" w:hAnsi="宋体" w:eastAsia="仿宋_GB2312" w:cs="仿宋_GB2312"/>
          <w:kern w:val="0"/>
          <w:sz w:val="32"/>
          <w:szCs w:val="32"/>
        </w:rPr>
        <w:t>聚焦产业链供应链现代化高级化发展，以智能化、高端化、绿色化、融合化、服务化为引领，每条产业链每年组织实施重点改造项目，努力优化“产业存量”，推动产业链发展提质增效。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宋体" w:hAnsi="宋体" w:eastAsia="仿宋_GB2312" w:cs="仿宋_GB2312"/>
          <w:kern w:val="0"/>
          <w:sz w:val="32"/>
          <w:szCs w:val="32"/>
        </w:rPr>
      </w:pPr>
      <w:r>
        <w:rPr>
          <w:rFonts w:hint="eastAsia" w:ascii="宋体" w:hAnsi="宋体" w:eastAsia="楷体_GB2312" w:cs="楷体_GB2312"/>
          <w:bCs/>
          <w:kern w:val="0"/>
          <w:sz w:val="32"/>
          <w:szCs w:val="32"/>
        </w:rPr>
        <w:t>（三）坚持精准招商做多增量。</w:t>
      </w:r>
      <w:r>
        <w:rPr>
          <w:rFonts w:hint="eastAsia" w:ascii="宋体" w:hAnsi="宋体" w:eastAsia="仿宋_GB2312" w:cs="仿宋_GB2312"/>
          <w:kern w:val="0"/>
          <w:sz w:val="32"/>
          <w:szCs w:val="32"/>
        </w:rPr>
        <w:t>聚焦强链补链延链，全面摸排产业链的弱链、断链、缺链环节，按照“高大上、链群配”要求，瞄准产业链龙头骨干企业及上中下游、关联配套企业，精准开展补充式、填空式招商，构建形成梯次接续、动态推进的项目储备引进格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宋体" w:hAnsi="宋体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宋体" w:hAnsi="宋体" w:eastAsia="楷体_GB2312" w:cs="楷体_GB2312"/>
          <w:bCs/>
          <w:kern w:val="0"/>
          <w:sz w:val="32"/>
          <w:szCs w:val="32"/>
        </w:rPr>
        <w:t>（四）坚持创新驱动做强变量。</w:t>
      </w:r>
      <w:r>
        <w:rPr>
          <w:rFonts w:hint="eastAsia" w:ascii="宋体" w:hAnsi="宋体" w:eastAsia="仿宋_GB2312" w:cs="仿宋_GB2312"/>
          <w:kern w:val="0"/>
          <w:sz w:val="32"/>
          <w:szCs w:val="32"/>
        </w:rPr>
        <w:t>聚焦重点产业链创新短板和技术需求，重点提升产业链龙头骨干企业创新能力，突破一批关键技术瓶颈，增强产业链发展内生动力。</w:t>
      </w:r>
      <w:r>
        <w:rPr>
          <w:rFonts w:hint="eastAsia" w:ascii="宋体" w:hAnsi="宋体" w:eastAsia="仿宋_GB2312" w:cs="仿宋_GB2312"/>
          <w:color w:val="000000"/>
          <w:kern w:val="0"/>
          <w:sz w:val="32"/>
          <w:szCs w:val="32"/>
        </w:rPr>
        <w:t>引导企业加大研发投入，自主或联合建立技术中心、设计中心等机构。推进制造业创新中心、产业技术研究院等重大创新平台建设，建设创新综合体等公共服务平台，推进新一代数字信息技术与产业链深度融合，推动产业链向高端化、智能化方向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 w:cs="仿宋_GB2312"/>
          <w:sz w:val="32"/>
          <w:szCs w:val="32"/>
        </w:rPr>
      </w:pPr>
      <w:r>
        <w:rPr>
          <w:rFonts w:hint="eastAsia" w:ascii="宋体" w:hAnsi="宋体" w:eastAsia="楷体_GB2312" w:cs="楷体_GB2312"/>
          <w:bCs/>
          <w:kern w:val="0"/>
          <w:sz w:val="32"/>
          <w:szCs w:val="32"/>
        </w:rPr>
        <w:t>（五）强化企业协作做好产量。</w:t>
      </w:r>
      <w:r>
        <w:rPr>
          <w:rFonts w:hint="eastAsia" w:ascii="宋体" w:hAnsi="宋体" w:eastAsia="仿宋_GB2312" w:cs="仿宋_GB2312"/>
          <w:kern w:val="0"/>
          <w:sz w:val="32"/>
          <w:szCs w:val="32"/>
        </w:rPr>
        <w:t>引导产业链上中下游、大中小企业在空间上集聚、业务上协作、资源上共享、平台上共建，促进产业链上的企业融通发展。组织产业链内外部、上中下游企业和供应商经销商加强产销对接，组织企业参加产供销对接活动，畅通产业循环、市场循环。用好各种区域协作机制，积极参与区域分工，主动承接产业辐射转移，加强跨区域产业链建设合作联动、园区合作开发，在产业链各重点环节形成细化分工、优势互补、错位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宋体" w:hAnsi="宋体" w:eastAsia="黑体"/>
          <w:kern w:val="0"/>
        </w:rPr>
      </w:pPr>
      <w:r>
        <w:rPr>
          <w:rFonts w:hint="eastAsia" w:ascii="宋体" w:hAnsi="宋体" w:eastAsia="黑体" w:cs="黑体"/>
          <w:kern w:val="0"/>
          <w:sz w:val="32"/>
          <w:szCs w:val="32"/>
        </w:rPr>
        <w:t>五、工作要求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宋体" w:hAnsi="宋体" w:eastAsia="仿宋_GB2312" w:cs="仿宋_GB2312"/>
          <w:kern w:val="0"/>
          <w:sz w:val="32"/>
          <w:szCs w:val="32"/>
        </w:rPr>
      </w:pPr>
      <w:r>
        <w:rPr>
          <w:rFonts w:hint="eastAsia" w:ascii="宋体" w:hAnsi="宋体" w:eastAsia="楷体_GB2312" w:cs="楷体_GB2312"/>
          <w:bCs/>
          <w:kern w:val="0"/>
          <w:sz w:val="32"/>
          <w:szCs w:val="32"/>
        </w:rPr>
        <w:t>（一）加强组织领导。</w:t>
      </w:r>
      <w:r>
        <w:rPr>
          <w:rFonts w:hint="eastAsia" w:ascii="宋体" w:hAnsi="宋体" w:eastAsia="仿宋_GB2312" w:cs="仿宋_GB2312"/>
          <w:kern w:val="0"/>
          <w:sz w:val="32"/>
          <w:szCs w:val="32"/>
        </w:rPr>
        <w:t>分产业链成立产业链推进工作领导小组，实行产业链链长负责制，由县领导担任产业链链长，相关部门负责同志任成员，按照“一位县领导、一个牵头部门、一套工作班子、一个工作方案、一套支持政策”的“五个一”工作模式（具体分工安排见附件，责任部门中排第一位的为牵头部门），推进产业链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宋体" w:hAnsi="宋体" w:eastAsia="仿宋_GB2312"/>
          <w:color w:val="000000"/>
          <w:kern w:val="0"/>
          <w:sz w:val="32"/>
          <w:szCs w:val="32"/>
        </w:rPr>
      </w:pPr>
      <w:r>
        <w:rPr>
          <w:rFonts w:hint="eastAsia" w:ascii="宋体" w:hAnsi="宋体" w:eastAsia="楷体_GB2312" w:cs="楷体_GB2312"/>
          <w:bCs/>
          <w:kern w:val="0"/>
          <w:sz w:val="32"/>
          <w:szCs w:val="32"/>
        </w:rPr>
        <w:t>（二）强化要素保障。</w:t>
      </w:r>
      <w:r>
        <w:rPr>
          <w:rFonts w:hint="eastAsia" w:ascii="宋体" w:hAnsi="宋体" w:eastAsia="仿宋_GB2312" w:cs="仿宋_GB2312"/>
          <w:kern w:val="0"/>
          <w:sz w:val="32"/>
          <w:szCs w:val="32"/>
        </w:rPr>
        <w:t>引导要素资源集聚，优先保障产业链重点企业和重点项目要素需求，着力解决资金、能源、土地、用工、技术、运输、原料等各方面困难问题。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eastAsia="仿宋_GB2312" w:cs="Times New Roman"/>
          <w:color w:val="000000"/>
          <w:sz w:val="32"/>
          <w:szCs w:val="32"/>
        </w:rPr>
      </w:pPr>
      <w:r>
        <w:rPr>
          <w:rFonts w:hint="eastAsia" w:eastAsia="楷体_GB2312" w:cs="楷体_GB2312"/>
          <w:bCs/>
          <w:color w:val="000000"/>
          <w:sz w:val="32"/>
          <w:szCs w:val="32"/>
        </w:rPr>
        <w:t>（三）强化督查调度。</w:t>
      </w:r>
      <w:r>
        <w:rPr>
          <w:rFonts w:hint="eastAsia" w:eastAsia="仿宋_GB2312" w:cs="仿宋_GB2312"/>
          <w:color w:val="000000"/>
          <w:sz w:val="32"/>
          <w:szCs w:val="32"/>
        </w:rPr>
        <w:t>由</w:t>
      </w:r>
      <w:r>
        <w:rPr>
          <w:rFonts w:hint="eastAsia" w:ascii="仿宋_GB2312" w:hAnsi="仿宋_GB2312" w:eastAsia="仿宋_GB2312" w:cs="仿宋_GB2312"/>
          <w:sz w:val="32"/>
          <w:szCs w:val="32"/>
          <w:lang w:val="en-GB"/>
        </w:rPr>
        <w:t>县工业倍增升级行动领导小组办公室</w:t>
      </w:r>
      <w:r>
        <w:rPr>
          <w:rFonts w:hint="eastAsia" w:eastAsia="仿宋_GB2312" w:cs="仿宋_GB2312"/>
          <w:sz w:val="32"/>
          <w:szCs w:val="32"/>
        </w:rPr>
        <w:t>牵头，建立调度机制，强化日常督导，每季度进行一次工作通报，每半年召开一次产业链工作推进会，统筹协调各方资源支持产业链发展，构建推进产业链发展的长效机制。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宋体" w:hAnsi="宋体" w:eastAsia="仿宋_GB2312"/>
          <w:kern w:val="0"/>
          <w:sz w:val="32"/>
          <w:szCs w:val="32"/>
        </w:rPr>
      </w:pPr>
      <w:r>
        <w:rPr>
          <w:rFonts w:hint="eastAsia" w:ascii="宋体" w:hAnsi="宋体" w:eastAsia="楷体_GB2312" w:cs="楷体_GB2312"/>
          <w:bCs/>
          <w:color w:val="000000"/>
          <w:kern w:val="0"/>
          <w:sz w:val="32"/>
          <w:szCs w:val="32"/>
        </w:rPr>
        <w:t>（四）营造良好环境。</w:t>
      </w:r>
      <w:r>
        <w:rPr>
          <w:rFonts w:hint="eastAsia" w:ascii="宋体" w:hAnsi="宋体" w:eastAsia="仿宋_GB2312" w:cs="仿宋_GB2312"/>
          <w:color w:val="000000"/>
          <w:kern w:val="0"/>
          <w:sz w:val="32"/>
          <w:szCs w:val="32"/>
        </w:rPr>
        <w:t>加大政策落</w:t>
      </w:r>
      <w:r>
        <w:rPr>
          <w:rFonts w:hint="eastAsia" w:ascii="宋体" w:hAnsi="宋体" w:eastAsia="仿宋_GB2312" w:cs="仿宋_GB2312"/>
          <w:kern w:val="0"/>
          <w:sz w:val="32"/>
          <w:szCs w:val="32"/>
        </w:rPr>
        <w:t>实力度，</w:t>
      </w:r>
      <w:r>
        <w:rPr>
          <w:rFonts w:hint="eastAsia" w:ascii="宋体" w:hAnsi="宋体" w:eastAsia="仿宋_GB2312" w:cs="仿宋_GB2312"/>
          <w:color w:val="000000"/>
          <w:kern w:val="0"/>
          <w:sz w:val="32"/>
          <w:szCs w:val="32"/>
        </w:rPr>
        <w:t>大力优化营商环境</w:t>
      </w:r>
      <w:r>
        <w:rPr>
          <w:rFonts w:hint="eastAsia" w:ascii="宋体" w:hAnsi="宋体" w:eastAsia="仿宋_GB2312" w:cs="仿宋_GB2312"/>
          <w:kern w:val="0"/>
          <w:sz w:val="32"/>
          <w:szCs w:val="32"/>
        </w:rPr>
        <w:t>。充分发挥舆论引导作用，加强优势产业链发展经验做法等方面的宣传推介，努力营造全社会关注支持优势产业链发展的良好氛围。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3MjA1ZDM1ODM0N2I0ZjExYWM2OWE4NmRlZTc3MjcifQ=="/>
  </w:docVars>
  <w:rsids>
    <w:rsidRoot w:val="53204311"/>
    <w:rsid w:val="00706077"/>
    <w:rsid w:val="00C018B5"/>
    <w:rsid w:val="010B4D69"/>
    <w:rsid w:val="01243938"/>
    <w:rsid w:val="01341E41"/>
    <w:rsid w:val="02271148"/>
    <w:rsid w:val="042162ED"/>
    <w:rsid w:val="04BE6B57"/>
    <w:rsid w:val="05B80CF1"/>
    <w:rsid w:val="06F34FC8"/>
    <w:rsid w:val="07583151"/>
    <w:rsid w:val="0BF467B9"/>
    <w:rsid w:val="0CDD08E0"/>
    <w:rsid w:val="0CFD2DFE"/>
    <w:rsid w:val="0DBD75C9"/>
    <w:rsid w:val="105179DF"/>
    <w:rsid w:val="1075570A"/>
    <w:rsid w:val="110951D9"/>
    <w:rsid w:val="11A40F7F"/>
    <w:rsid w:val="11D3500A"/>
    <w:rsid w:val="142D1F77"/>
    <w:rsid w:val="142D40C2"/>
    <w:rsid w:val="14471496"/>
    <w:rsid w:val="14C86149"/>
    <w:rsid w:val="16E4626B"/>
    <w:rsid w:val="17282FC7"/>
    <w:rsid w:val="17292558"/>
    <w:rsid w:val="1919248F"/>
    <w:rsid w:val="196D1DEB"/>
    <w:rsid w:val="1A3900C9"/>
    <w:rsid w:val="1A6E27CD"/>
    <w:rsid w:val="1AAA61EE"/>
    <w:rsid w:val="1C816C34"/>
    <w:rsid w:val="1CCA6154"/>
    <w:rsid w:val="1DD12C1C"/>
    <w:rsid w:val="1E0E0006"/>
    <w:rsid w:val="1E7D349B"/>
    <w:rsid w:val="1EFA7778"/>
    <w:rsid w:val="1F512820"/>
    <w:rsid w:val="1FF0313B"/>
    <w:rsid w:val="20497E26"/>
    <w:rsid w:val="21E61783"/>
    <w:rsid w:val="22735732"/>
    <w:rsid w:val="22AE054D"/>
    <w:rsid w:val="22C16E58"/>
    <w:rsid w:val="23A93F0F"/>
    <w:rsid w:val="23D16CC8"/>
    <w:rsid w:val="23F9692F"/>
    <w:rsid w:val="25B92FEF"/>
    <w:rsid w:val="29D21A27"/>
    <w:rsid w:val="2A83743E"/>
    <w:rsid w:val="2AEE1D5F"/>
    <w:rsid w:val="2C63375F"/>
    <w:rsid w:val="2D735383"/>
    <w:rsid w:val="2DBF7B53"/>
    <w:rsid w:val="2DF77F7B"/>
    <w:rsid w:val="2E5A060D"/>
    <w:rsid w:val="2EC50D55"/>
    <w:rsid w:val="2FAB7C0D"/>
    <w:rsid w:val="31527ED2"/>
    <w:rsid w:val="34197D1E"/>
    <w:rsid w:val="34227F7A"/>
    <w:rsid w:val="342E736C"/>
    <w:rsid w:val="34353CC9"/>
    <w:rsid w:val="344E120B"/>
    <w:rsid w:val="34E62121"/>
    <w:rsid w:val="356C33F8"/>
    <w:rsid w:val="37EE4D97"/>
    <w:rsid w:val="3925382C"/>
    <w:rsid w:val="3AA00937"/>
    <w:rsid w:val="3B094A41"/>
    <w:rsid w:val="3B5656C8"/>
    <w:rsid w:val="3B946413"/>
    <w:rsid w:val="3BA05C54"/>
    <w:rsid w:val="3BF268F9"/>
    <w:rsid w:val="3DB454EF"/>
    <w:rsid w:val="3F3C498E"/>
    <w:rsid w:val="3F9A5221"/>
    <w:rsid w:val="3FAE3989"/>
    <w:rsid w:val="418D476A"/>
    <w:rsid w:val="42793556"/>
    <w:rsid w:val="428A7210"/>
    <w:rsid w:val="44176C9C"/>
    <w:rsid w:val="44606F22"/>
    <w:rsid w:val="447D140B"/>
    <w:rsid w:val="44D726BE"/>
    <w:rsid w:val="4513071E"/>
    <w:rsid w:val="46FF530B"/>
    <w:rsid w:val="477A335F"/>
    <w:rsid w:val="47E609E0"/>
    <w:rsid w:val="486F4978"/>
    <w:rsid w:val="494F7C1D"/>
    <w:rsid w:val="4A8C579A"/>
    <w:rsid w:val="4D4F4668"/>
    <w:rsid w:val="4DA114C6"/>
    <w:rsid w:val="4E575492"/>
    <w:rsid w:val="4E9302E3"/>
    <w:rsid w:val="4F3E691E"/>
    <w:rsid w:val="4FBF79D6"/>
    <w:rsid w:val="50486EDB"/>
    <w:rsid w:val="50F40359"/>
    <w:rsid w:val="513F76DA"/>
    <w:rsid w:val="514A0207"/>
    <w:rsid w:val="51A679CB"/>
    <w:rsid w:val="51E6309F"/>
    <w:rsid w:val="527D62C0"/>
    <w:rsid w:val="53204311"/>
    <w:rsid w:val="545B002D"/>
    <w:rsid w:val="55552AC9"/>
    <w:rsid w:val="57867E5B"/>
    <w:rsid w:val="59FF42F6"/>
    <w:rsid w:val="5DD12C75"/>
    <w:rsid w:val="5F58411A"/>
    <w:rsid w:val="5FBB6E54"/>
    <w:rsid w:val="6048644B"/>
    <w:rsid w:val="611A38DE"/>
    <w:rsid w:val="61CB57D1"/>
    <w:rsid w:val="61D8599A"/>
    <w:rsid w:val="62105DDA"/>
    <w:rsid w:val="62990733"/>
    <w:rsid w:val="649D01D8"/>
    <w:rsid w:val="65241E99"/>
    <w:rsid w:val="667A1048"/>
    <w:rsid w:val="67405EFF"/>
    <w:rsid w:val="68CC1388"/>
    <w:rsid w:val="694460CE"/>
    <w:rsid w:val="6C125312"/>
    <w:rsid w:val="6D5E6F1C"/>
    <w:rsid w:val="6F2F32CB"/>
    <w:rsid w:val="6F701BE9"/>
    <w:rsid w:val="6F7D0BEA"/>
    <w:rsid w:val="6F93527B"/>
    <w:rsid w:val="70407C18"/>
    <w:rsid w:val="71772014"/>
    <w:rsid w:val="738F2ED3"/>
    <w:rsid w:val="73DA5DD6"/>
    <w:rsid w:val="73EE6827"/>
    <w:rsid w:val="742064B4"/>
    <w:rsid w:val="75544731"/>
    <w:rsid w:val="7702679F"/>
    <w:rsid w:val="78AB2C78"/>
    <w:rsid w:val="7CBA7A67"/>
    <w:rsid w:val="7CE929A6"/>
    <w:rsid w:val="7D6043C3"/>
    <w:rsid w:val="7D840EAE"/>
    <w:rsid w:val="7D9810B2"/>
    <w:rsid w:val="7F5F3F94"/>
    <w:rsid w:val="7F7F3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3"/>
    <w:next w:val="3"/>
    <w:qFormat/>
    <w:uiPriority w:val="0"/>
    <w:pPr>
      <w:spacing w:after="120" w:afterLines="0"/>
      <w:ind w:left="420" w:leftChars="200"/>
    </w:pPr>
    <w:rPr>
      <w:rFonts w:eastAsia="Times New Roman"/>
      <w:sz w:val="21"/>
    </w:rPr>
  </w:style>
  <w:style w:type="paragraph" w:styleId="3">
    <w:name w:val="Normal Indent"/>
    <w:basedOn w:val="1"/>
    <w:next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2022-05-17T03:07:00Z</dcterms:created>
  <dc:creator>——T——</dc:creator>
  <cp:lastModifiedBy>——T——</cp:lastModifiedBy>
  <dcterms:modified xsi:type="dcterms:W3CDTF">2022-05-17T03:09:14Z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7F1774BA1AED4E71A3093629E1E3E4C4</vt:lpwstr>
  </property>
</Properties>
</file>