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0E5" w:rsidRDefault="00254AEC">
      <w:pPr>
        <w:spacing w:after="196" w:line="259" w:lineRule="auto"/>
        <w:ind w:left="485" w:right="0" w:firstLine="0"/>
      </w:pPr>
      <w:r>
        <w:rPr>
          <w:rFonts w:ascii="FZXiaoBiaoSong-B05S" w:eastAsia="FZXiaoBiaoSong-B05S" w:hAnsi="FZXiaoBiaoSong-B05S" w:cs="FZXiaoBiaoSong-B05S"/>
          <w:color w:val="FF0000"/>
          <w:sz w:val="84"/>
        </w:rPr>
        <w:t>江西省财政厅文件</w:t>
      </w:r>
      <w:bookmarkStart w:id="0" w:name="_GoBack"/>
      <w:bookmarkEnd w:id="0"/>
    </w:p>
    <w:p w:rsidR="00A950E5" w:rsidRDefault="00254AEC">
      <w:pPr>
        <w:pStyle w:val="1"/>
        <w:spacing w:after="0" w:line="259" w:lineRule="auto"/>
        <w:ind w:left="0" w:right="312" w:firstLine="0"/>
        <w:jc w:val="center"/>
      </w:pPr>
      <w:r>
        <w:rPr>
          <w:rFonts w:ascii="仿宋_GB2312" w:eastAsia="仿宋_GB2312" w:hAnsi="仿宋_GB2312" w:cs="仿宋_GB2312"/>
          <w:sz w:val="32"/>
        </w:rPr>
        <w:t>赣财农指〔</w:t>
      </w:r>
      <w:r>
        <w:rPr>
          <w:rFonts w:ascii="仿宋_GB2312" w:eastAsia="仿宋_GB2312" w:hAnsi="仿宋_GB2312" w:cs="仿宋_GB2312"/>
          <w:sz w:val="32"/>
        </w:rPr>
        <w:t>2024</w:t>
      </w:r>
      <w:r>
        <w:rPr>
          <w:rFonts w:ascii="仿宋_GB2312" w:eastAsia="仿宋_GB2312" w:hAnsi="仿宋_GB2312" w:cs="仿宋_GB2312"/>
          <w:sz w:val="32"/>
        </w:rPr>
        <w:t>〕</w:t>
      </w:r>
      <w:r>
        <w:rPr>
          <w:rFonts w:ascii="仿宋_GB2312" w:eastAsia="仿宋_GB2312" w:hAnsi="仿宋_GB2312" w:cs="仿宋_GB2312"/>
          <w:sz w:val="32"/>
        </w:rPr>
        <w:t>10</w:t>
      </w:r>
      <w:r>
        <w:rPr>
          <w:rFonts w:ascii="仿宋_GB2312" w:eastAsia="仿宋_GB2312" w:hAnsi="仿宋_GB2312" w:cs="仿宋_GB2312"/>
          <w:sz w:val="32"/>
        </w:rPr>
        <w:t>号</w:t>
      </w:r>
    </w:p>
    <w:p w:rsidR="00A950E5" w:rsidRDefault="00254AEC">
      <w:pPr>
        <w:spacing w:after="1139" w:line="259" w:lineRule="auto"/>
        <w:ind w:left="-1" w:right="0" w:firstLine="0"/>
      </w:pPr>
      <w:r>
        <w:rPr>
          <w:rFonts w:ascii="Calibri" w:eastAsia="Calibri" w:hAnsi="Calibri" w:cs="Calibri"/>
          <w:noProof/>
          <w:sz w:val="22"/>
        </w:rPr>
        <mc:AlternateContent>
          <mc:Choice Requires="wpg">
            <w:drawing>
              <wp:inline distT="0" distB="0" distL="0" distR="0">
                <wp:extent cx="5649505" cy="28573"/>
                <wp:effectExtent l="0" t="0" r="0" b="0"/>
                <wp:docPr id="1064" name="Group 1064"/>
                <wp:cNvGraphicFramePr/>
                <a:graphic xmlns:a="http://schemas.openxmlformats.org/drawingml/2006/main">
                  <a:graphicData uri="http://schemas.microsoft.com/office/word/2010/wordprocessingGroup">
                    <wpg:wgp>
                      <wpg:cNvGrpSpPr/>
                      <wpg:grpSpPr>
                        <a:xfrm>
                          <a:off x="0" y="0"/>
                          <a:ext cx="5649505" cy="28573"/>
                          <a:chOff x="0" y="0"/>
                          <a:chExt cx="5649505" cy="28573"/>
                        </a:xfrm>
                      </wpg:grpSpPr>
                      <wps:wsp>
                        <wps:cNvPr id="1309" name="Shape 1309"/>
                        <wps:cNvSpPr/>
                        <wps:spPr>
                          <a:xfrm>
                            <a:off x="0" y="0"/>
                            <a:ext cx="5649505" cy="28573"/>
                          </a:xfrm>
                          <a:custGeom>
                            <a:avLst/>
                            <a:gdLst/>
                            <a:ahLst/>
                            <a:cxnLst/>
                            <a:rect l="0" t="0" r="0" b="0"/>
                            <a:pathLst>
                              <a:path w="5649505" h="28573">
                                <a:moveTo>
                                  <a:pt x="0" y="0"/>
                                </a:moveTo>
                                <a:lnTo>
                                  <a:pt x="5649505" y="0"/>
                                </a:lnTo>
                                <a:lnTo>
                                  <a:pt x="5649505" y="28573"/>
                                </a:lnTo>
                                <a:lnTo>
                                  <a:pt x="0" y="28573"/>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g:wgp>
                  </a:graphicData>
                </a:graphic>
              </wp:inline>
            </w:drawing>
          </mc:Choice>
          <mc:Fallback xmlns:a="http://schemas.openxmlformats.org/drawingml/2006/main">
            <w:pict>
              <v:group id="Group 1064" style="width:444.843pt;height:2.24985pt;mso-position-horizontal-relative:char;mso-position-vertical-relative:line" coordsize="56495,285">
                <v:shape id="Shape 1310" style="position:absolute;width:56495;height:285;left:0;top:0;" coordsize="5649505,28573" path="m0,0l5649505,0l5649505,28573l0,28573l0,0">
                  <v:stroke weight="0pt" endcap="flat" joinstyle="miter" miterlimit="10" on="false" color="#000000" opacity="0"/>
                  <v:fill on="true" color="#ff0000"/>
                </v:shape>
              </v:group>
            </w:pict>
          </mc:Fallback>
        </mc:AlternateContent>
      </w:r>
    </w:p>
    <w:p w:rsidR="00A950E5" w:rsidRDefault="00254AEC">
      <w:pPr>
        <w:pStyle w:val="1"/>
      </w:pPr>
      <w:r>
        <w:t>江西省财政厅关于下达</w:t>
      </w:r>
      <w:r>
        <w:t>2024</w:t>
      </w:r>
      <w:r>
        <w:t>年中央财政衔接推进乡村振兴补助资金预算的通知</w:t>
      </w:r>
    </w:p>
    <w:p w:rsidR="00A950E5" w:rsidRDefault="00254AEC">
      <w:pPr>
        <w:spacing w:after="207" w:line="259" w:lineRule="auto"/>
        <w:ind w:left="-15" w:right="0" w:firstLine="0"/>
      </w:pPr>
      <w:r>
        <w:t>各市、县（区）财政局：</w:t>
      </w:r>
    </w:p>
    <w:p w:rsidR="00A950E5" w:rsidRDefault="00254AEC">
      <w:pPr>
        <w:ind w:left="-15" w:right="0"/>
      </w:pPr>
      <w:r>
        <w:t>为贯彻落实中央和省委、省政府关于巩固拓展脱贫攻坚成果同乡村振兴有效衔接的精神，根据《财政部关于下达</w:t>
      </w:r>
      <w:r>
        <w:t>2024</w:t>
      </w:r>
      <w:r>
        <w:t>年中央财政衔接推进乡村振兴补助资金预算的通知》（财农〔</w:t>
      </w:r>
      <w:r>
        <w:t>2024</w:t>
      </w:r>
      <w:r>
        <w:t>〕</w:t>
      </w:r>
    </w:p>
    <w:p w:rsidR="00A950E5" w:rsidRDefault="00254AEC">
      <w:pPr>
        <w:spacing w:after="986"/>
        <w:ind w:left="-15" w:right="0" w:firstLine="0"/>
      </w:pPr>
      <w:r>
        <w:t>13</w:t>
      </w:r>
      <w:r>
        <w:t>号）及《财政部办公厅关于备案</w:t>
      </w:r>
      <w:r>
        <w:t>2024</w:t>
      </w:r>
      <w:r>
        <w:t>年中央财政衔接推进乡村振兴补助资金分配方案的意见》（财农便函〔</w:t>
      </w:r>
      <w:r>
        <w:t>2024</w:t>
      </w:r>
      <w:r>
        <w:t>〕</w:t>
      </w:r>
      <w:r>
        <w:t>113</w:t>
      </w:r>
      <w:r>
        <w:t>号），经研究，现将</w:t>
      </w:r>
      <w:r>
        <w:t>2024</w:t>
      </w:r>
      <w:r>
        <w:t>年中央财政衔接推进乡村振兴补助资金（</w:t>
      </w:r>
      <w:r>
        <w:t>详见附件）下达给你们。收入列</w:t>
      </w:r>
      <w:r>
        <w:t>2024</w:t>
      </w:r>
      <w:r>
        <w:t>年</w:t>
      </w:r>
      <w:r>
        <w:t>“</w:t>
      </w:r>
      <w:r>
        <w:t>1100231</w:t>
      </w:r>
      <w:r>
        <w:t>巩固脱贫攻坚</w:t>
      </w:r>
    </w:p>
    <w:p w:rsidR="00A950E5" w:rsidRDefault="00254AEC">
      <w:pPr>
        <w:spacing w:after="438" w:line="259" w:lineRule="auto"/>
        <w:ind w:left="10" w:right="294" w:hanging="10"/>
        <w:jc w:val="right"/>
      </w:pPr>
      <w:r>
        <w:rPr>
          <w:rFonts w:ascii="宋体" w:eastAsia="宋体" w:hAnsi="宋体" w:cs="宋体"/>
          <w:color w:val="FFFFFF"/>
          <w:sz w:val="28"/>
        </w:rPr>
        <w:t>—</w:t>
      </w:r>
      <w:r>
        <w:rPr>
          <w:rFonts w:ascii="宋体" w:eastAsia="宋体" w:hAnsi="宋体" w:cs="宋体"/>
          <w:sz w:val="28"/>
        </w:rPr>
        <w:t>—1—</w:t>
      </w:r>
      <w:r>
        <w:rPr>
          <w:rFonts w:ascii="宋体" w:eastAsia="宋体" w:hAnsi="宋体" w:cs="宋体"/>
          <w:color w:val="FFFFFF"/>
          <w:sz w:val="28"/>
        </w:rPr>
        <w:t>—</w:t>
      </w:r>
    </w:p>
    <w:p w:rsidR="00A950E5" w:rsidRDefault="00254AEC">
      <w:pPr>
        <w:ind w:right="308" w:firstLine="0"/>
        <w:jc w:val="both"/>
      </w:pPr>
      <w:r>
        <w:lastRenderedPageBreak/>
        <w:t>成果衔接乡村振兴转移支付收入</w:t>
      </w:r>
      <w:r>
        <w:t>”</w:t>
      </w:r>
      <w:r>
        <w:t>科目，市、县支出功能分类科目列</w:t>
      </w:r>
      <w:r>
        <w:t>“</w:t>
      </w:r>
      <w:r>
        <w:t>21305</w:t>
      </w:r>
      <w:r>
        <w:t>巩固脱贫攻坚成果衔接乡村振兴</w:t>
      </w:r>
      <w:r>
        <w:t>”</w:t>
      </w:r>
      <w:r>
        <w:t>，支出经济分类科目列</w:t>
      </w:r>
      <w:r>
        <w:t>“</w:t>
      </w:r>
      <w:r>
        <w:t>51301</w:t>
      </w:r>
      <w:r>
        <w:t>上下级政府间转移性支出</w:t>
      </w:r>
      <w:r>
        <w:t>”</w:t>
      </w:r>
      <w:r>
        <w:t>，项目代码：</w:t>
      </w:r>
    </w:p>
    <w:p w:rsidR="00A950E5" w:rsidRDefault="00254AEC">
      <w:pPr>
        <w:pStyle w:val="2"/>
        <w:ind w:left="-5"/>
      </w:pPr>
      <w:r>
        <w:t>10000015Z155110000004</w:t>
      </w:r>
      <w:r>
        <w:t>。现就有关事项通知如下：</w:t>
      </w:r>
    </w:p>
    <w:p w:rsidR="00A950E5" w:rsidRDefault="00254AEC">
      <w:pPr>
        <w:numPr>
          <w:ilvl w:val="0"/>
          <w:numId w:val="1"/>
        </w:numPr>
        <w:ind w:right="0"/>
      </w:pPr>
      <w:r>
        <w:t>认真落实中央和省委一号文件精神，学习运用</w:t>
      </w:r>
      <w:r>
        <w:t>“</w:t>
      </w:r>
      <w:r>
        <w:t>千村示范、万村整治</w:t>
      </w:r>
      <w:r>
        <w:t>”</w:t>
      </w:r>
      <w:r>
        <w:t>工程经验，聚焦确保不发生规模性返贫。持续加强产业和就业帮扶，增强脱贫地区和脱贫群众内生发展动力。中央财政衔接资金用于产业发展的比例</w:t>
      </w:r>
      <w:r>
        <w:t>保持总体稳定，资金规模不低于下达资金总规模的</w:t>
      </w:r>
      <w:r>
        <w:t>60%</w:t>
      </w:r>
      <w:r>
        <w:t>。</w:t>
      </w:r>
    </w:p>
    <w:p w:rsidR="00A950E5" w:rsidRDefault="00254AEC">
      <w:pPr>
        <w:numPr>
          <w:ilvl w:val="0"/>
          <w:numId w:val="1"/>
        </w:numPr>
        <w:ind w:right="0"/>
      </w:pPr>
      <w:r>
        <w:t>认真落实《中共中央组织部财政部农业农村部关于强化农村基层党组织政治功能和组织功能扶持发展新型农村集体经济的通知》要求，联合相关部门抓好发展新型农村集体经济工作，拓宽村集体经济收入渠道，强化基层党组织政治功能和组织功能。</w:t>
      </w:r>
    </w:p>
    <w:p w:rsidR="00A950E5" w:rsidRDefault="00254AEC">
      <w:pPr>
        <w:numPr>
          <w:ilvl w:val="0"/>
          <w:numId w:val="1"/>
        </w:numPr>
        <w:spacing w:after="746"/>
        <w:ind w:right="0"/>
      </w:pPr>
      <w:r>
        <w:t>落实直达资金管理要求。中央、省、市、县（区）各级衔接资金纳入直达系统管理，直达资金标识贯穿资金分配、拨付、使用等整个环节，并在预算管理一体化和直达资金监控系统中保持直达资金标识不变。财政部门将中央直达资金分解落实到单位和具体项目时，对资金来源既包含中央直达资金又包含地</w:t>
      </w:r>
      <w:r>
        <w:lastRenderedPageBreak/>
        <w:t>方对应安排资金的，应在预算指标文件、信息管理系统中按资金明细来源分别列示和登录预算指标。省财政厅对直达</w:t>
      </w:r>
    </w:p>
    <w:p w:rsidR="00A950E5" w:rsidRDefault="00254AEC">
      <w:pPr>
        <w:spacing w:line="259" w:lineRule="auto"/>
        <w:ind w:right="0" w:firstLine="0"/>
      </w:pPr>
      <w:r>
        <w:rPr>
          <w:rFonts w:ascii="宋体" w:eastAsia="宋体" w:hAnsi="宋体" w:cs="宋体"/>
          <w:color w:val="FFFFFF"/>
          <w:sz w:val="28"/>
        </w:rPr>
        <w:t>—</w:t>
      </w:r>
      <w:r>
        <w:rPr>
          <w:rFonts w:ascii="宋体" w:eastAsia="宋体" w:hAnsi="宋体" w:cs="宋体"/>
          <w:sz w:val="28"/>
        </w:rPr>
        <w:t>—2—</w:t>
      </w:r>
      <w:r>
        <w:rPr>
          <w:rFonts w:ascii="宋体" w:eastAsia="宋体" w:hAnsi="宋体" w:cs="宋体"/>
          <w:color w:val="FFFFFF"/>
          <w:sz w:val="28"/>
        </w:rPr>
        <w:t>—</w:t>
      </w:r>
    </w:p>
    <w:p w:rsidR="00A950E5" w:rsidRDefault="00254AEC">
      <w:pPr>
        <w:spacing w:after="207" w:line="259" w:lineRule="auto"/>
        <w:ind w:left="-15" w:right="0" w:firstLine="0"/>
      </w:pPr>
      <w:r>
        <w:t>资金实行动态监控。</w:t>
      </w:r>
    </w:p>
    <w:p w:rsidR="00A950E5" w:rsidRDefault="00254AEC">
      <w:pPr>
        <w:numPr>
          <w:ilvl w:val="0"/>
          <w:numId w:val="1"/>
        </w:numPr>
        <w:spacing w:after="600"/>
        <w:ind w:right="0"/>
      </w:pPr>
      <w:r>
        <w:t>请按照《江西省财政衔接推进乡村振兴补助资金管理办法（试行）》（赣财扶〔</w:t>
      </w:r>
      <w:r>
        <w:t>2021</w:t>
      </w:r>
      <w:r>
        <w:t>〕</w:t>
      </w:r>
      <w:r>
        <w:t>2</w:t>
      </w:r>
      <w:r>
        <w:t>号</w:t>
      </w:r>
      <w:r>
        <w:t>)</w:t>
      </w:r>
      <w:r>
        <w:t>要求，切实加强衔接资金的使用和绩效管理，切实加强项目库建设，强化项目实施管理，加快项目实施和资金支出进度，落实绩效管理要求，提升资金使用效益。</w:t>
      </w:r>
    </w:p>
    <w:p w:rsidR="00A950E5" w:rsidRDefault="00254AEC">
      <w:pPr>
        <w:spacing w:after="1407" w:line="259" w:lineRule="auto"/>
        <w:ind w:right="323" w:firstLine="0"/>
        <w:jc w:val="right"/>
      </w:pPr>
      <w:r>
        <w:t>附件：</w:t>
      </w:r>
      <w:r>
        <w:t>2024</w:t>
      </w:r>
      <w:r>
        <w:t>年中央财政衔接推进乡村振兴补助资金分配表</w:t>
      </w:r>
    </w:p>
    <w:p w:rsidR="00A950E5" w:rsidRDefault="00254AEC">
      <w:pPr>
        <w:spacing w:line="259" w:lineRule="auto"/>
        <w:ind w:left="5438" w:right="0" w:firstLine="0"/>
      </w:pPr>
      <w:r>
        <w:t>江西省财政厅</w:t>
      </w:r>
    </w:p>
    <w:p w:rsidR="00A950E5" w:rsidRDefault="00254AEC">
      <w:pPr>
        <w:spacing w:after="318" w:line="259" w:lineRule="auto"/>
        <w:ind w:left="3707" w:right="0" w:firstLine="0"/>
        <w:jc w:val="center"/>
      </w:pPr>
      <w:r>
        <w:rPr>
          <w:color w:val="FFFFFF"/>
          <w:sz w:val="15"/>
        </w:rPr>
        <w:t>（此处盖章）</w:t>
      </w:r>
    </w:p>
    <w:p w:rsidR="00A950E5" w:rsidRDefault="00254AEC">
      <w:pPr>
        <w:pStyle w:val="2"/>
        <w:spacing w:after="2599"/>
        <w:ind w:left="5290"/>
      </w:pPr>
      <w:r>
        <w:t>2024</w:t>
      </w:r>
      <w:r>
        <w:t>年</w:t>
      </w:r>
      <w:r>
        <w:t>5</w:t>
      </w:r>
      <w:r>
        <w:t>月</w:t>
      </w:r>
      <w:r>
        <w:t>14</w:t>
      </w:r>
      <w:r>
        <w:t>日</w:t>
      </w:r>
    </w:p>
    <w:p w:rsidR="00A950E5" w:rsidRDefault="00254AEC">
      <w:pPr>
        <w:spacing w:line="259" w:lineRule="auto"/>
        <w:ind w:right="0" w:firstLine="0"/>
      </w:pPr>
      <w:r>
        <w:rPr>
          <w:rFonts w:ascii="黑体" w:eastAsia="黑体" w:hAnsi="黑体" w:cs="黑体"/>
          <w:sz w:val="28"/>
        </w:rPr>
        <w:t>信息公开选项：主动公开</w:t>
      </w:r>
    </w:p>
    <w:p w:rsidR="00A950E5" w:rsidRDefault="00254AEC">
      <w:pPr>
        <w:spacing w:after="158" w:line="259" w:lineRule="auto"/>
        <w:ind w:left="39" w:right="0" w:firstLine="0"/>
      </w:pPr>
      <w:r>
        <w:rPr>
          <w:rFonts w:ascii="Calibri" w:eastAsia="Calibri" w:hAnsi="Calibri" w:cs="Calibri"/>
          <w:noProof/>
          <w:sz w:val="22"/>
        </w:rPr>
        <w:lastRenderedPageBreak/>
        <mc:AlternateContent>
          <mc:Choice Requires="wpg">
            <w:drawing>
              <wp:inline distT="0" distB="0" distL="0" distR="0">
                <wp:extent cx="5486311" cy="15876"/>
                <wp:effectExtent l="0" t="0" r="0" b="0"/>
                <wp:docPr id="1020" name="Group 1020"/>
                <wp:cNvGraphicFramePr/>
                <a:graphic xmlns:a="http://schemas.openxmlformats.org/drawingml/2006/main">
                  <a:graphicData uri="http://schemas.microsoft.com/office/word/2010/wordprocessingGroup">
                    <wpg:wgp>
                      <wpg:cNvGrpSpPr/>
                      <wpg:grpSpPr>
                        <a:xfrm>
                          <a:off x="0" y="0"/>
                          <a:ext cx="5486311" cy="15876"/>
                          <a:chOff x="0" y="0"/>
                          <a:chExt cx="5486311" cy="15876"/>
                        </a:xfrm>
                      </wpg:grpSpPr>
                      <wps:wsp>
                        <wps:cNvPr id="1311" name="Shape 1311"/>
                        <wps:cNvSpPr/>
                        <wps:spPr>
                          <a:xfrm>
                            <a:off x="0" y="0"/>
                            <a:ext cx="5486311" cy="15876"/>
                          </a:xfrm>
                          <a:custGeom>
                            <a:avLst/>
                            <a:gdLst/>
                            <a:ahLst/>
                            <a:cxnLst/>
                            <a:rect l="0" t="0" r="0" b="0"/>
                            <a:pathLst>
                              <a:path w="5486311" h="15876">
                                <a:moveTo>
                                  <a:pt x="0" y="0"/>
                                </a:moveTo>
                                <a:lnTo>
                                  <a:pt x="5486311" y="0"/>
                                </a:lnTo>
                                <a:lnTo>
                                  <a:pt x="5486311" y="15876"/>
                                </a:lnTo>
                                <a:lnTo>
                                  <a:pt x="0" y="158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0" style="width:431.993pt;height:1.25006pt;mso-position-horizontal-relative:char;mso-position-vertical-relative:line" coordsize="54863,158">
                <v:shape id="Shape 1312" style="position:absolute;width:54863;height:158;left:0;top:0;" coordsize="5486311,15876" path="m0,0l5486311,0l5486311,15876l0,15876l0,0">
                  <v:stroke weight="0pt" endcap="flat" joinstyle="miter" miterlimit="10" on="false" color="#000000" opacity="0"/>
                  <v:fill on="true" color="#000000"/>
                </v:shape>
              </v:group>
            </w:pict>
          </mc:Fallback>
        </mc:AlternateContent>
      </w:r>
    </w:p>
    <w:p w:rsidR="00A950E5" w:rsidRDefault="00254AEC">
      <w:pPr>
        <w:spacing w:after="254" w:line="259" w:lineRule="auto"/>
        <w:ind w:left="273" w:right="0" w:hanging="10"/>
      </w:pPr>
      <w:r>
        <w:rPr>
          <w:sz w:val="28"/>
        </w:rPr>
        <w:t>抄送：财政部、财政部江西监管局、省发展和改革委、省农业农村厅、</w:t>
      </w:r>
    </w:p>
    <w:p w:rsidR="00A950E5" w:rsidRDefault="00254AEC">
      <w:pPr>
        <w:spacing w:line="259" w:lineRule="auto"/>
        <w:ind w:left="1128" w:right="0" w:hanging="10"/>
      </w:pPr>
      <w:r>
        <w:rPr>
          <w:sz w:val="28"/>
        </w:rPr>
        <w:t>省民宗局、省林业局、本厅预算处。</w:t>
      </w:r>
    </w:p>
    <w:p w:rsidR="00A950E5" w:rsidRDefault="00254AEC">
      <w:pPr>
        <w:spacing w:after="179" w:line="259" w:lineRule="auto"/>
        <w:ind w:left="39" w:right="0" w:firstLine="0"/>
      </w:pPr>
      <w:r>
        <w:rPr>
          <w:rFonts w:ascii="Calibri" w:eastAsia="Calibri" w:hAnsi="Calibri" w:cs="Calibri"/>
          <w:noProof/>
          <w:sz w:val="22"/>
        </w:rPr>
        <mc:AlternateContent>
          <mc:Choice Requires="wpg">
            <w:drawing>
              <wp:inline distT="0" distB="0" distL="0" distR="0">
                <wp:extent cx="5486311" cy="9526"/>
                <wp:effectExtent l="0" t="0" r="0" b="0"/>
                <wp:docPr id="1019" name="Group 1019"/>
                <wp:cNvGraphicFramePr/>
                <a:graphic xmlns:a="http://schemas.openxmlformats.org/drawingml/2006/main">
                  <a:graphicData uri="http://schemas.microsoft.com/office/word/2010/wordprocessingGroup">
                    <wpg:wgp>
                      <wpg:cNvGrpSpPr/>
                      <wpg:grpSpPr>
                        <a:xfrm>
                          <a:off x="0" y="0"/>
                          <a:ext cx="5486311" cy="9526"/>
                          <a:chOff x="0" y="0"/>
                          <a:chExt cx="5486311" cy="9526"/>
                        </a:xfrm>
                      </wpg:grpSpPr>
                      <wps:wsp>
                        <wps:cNvPr id="1313" name="Shape 1313"/>
                        <wps:cNvSpPr/>
                        <wps:spPr>
                          <a:xfrm>
                            <a:off x="0" y="0"/>
                            <a:ext cx="5486311" cy="9526"/>
                          </a:xfrm>
                          <a:custGeom>
                            <a:avLst/>
                            <a:gdLst/>
                            <a:ahLst/>
                            <a:cxnLst/>
                            <a:rect l="0" t="0" r="0" b="0"/>
                            <a:pathLst>
                              <a:path w="5486311" h="9526">
                                <a:moveTo>
                                  <a:pt x="0" y="0"/>
                                </a:moveTo>
                                <a:lnTo>
                                  <a:pt x="5486311" y="0"/>
                                </a:lnTo>
                                <a:lnTo>
                                  <a:pt x="5486311" y="9526"/>
                                </a:lnTo>
                                <a:lnTo>
                                  <a:pt x="0" y="95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9" style="width:431.993pt;height:0.750061pt;mso-position-horizontal-relative:char;mso-position-vertical-relative:line" coordsize="54863,95">
                <v:shape id="Shape 1314" style="position:absolute;width:54863;height:95;left:0;top:0;" coordsize="5486311,9526" path="m0,0l5486311,0l5486311,9526l0,9526l0,0">
                  <v:stroke weight="0pt" endcap="flat" joinstyle="miter" miterlimit="10" on="false" color="#000000" opacity="0"/>
                  <v:fill on="true" color="#000000"/>
                </v:shape>
              </v:group>
            </w:pict>
          </mc:Fallback>
        </mc:AlternateContent>
      </w:r>
    </w:p>
    <w:p w:rsidR="00A950E5" w:rsidRDefault="00254AEC">
      <w:pPr>
        <w:tabs>
          <w:tab w:val="right" w:pos="9038"/>
        </w:tabs>
        <w:spacing w:line="259" w:lineRule="auto"/>
        <w:ind w:right="0" w:firstLine="0"/>
      </w:pPr>
      <w:r>
        <w:rPr>
          <w:sz w:val="28"/>
        </w:rPr>
        <w:t>江西省财政厅办公室</w:t>
      </w:r>
      <w:r>
        <w:rPr>
          <w:sz w:val="28"/>
        </w:rPr>
        <w:tab/>
      </w:r>
      <w:r>
        <w:rPr>
          <w:sz w:val="28"/>
        </w:rPr>
        <w:t>2024</w:t>
      </w:r>
      <w:r>
        <w:rPr>
          <w:sz w:val="28"/>
        </w:rPr>
        <w:t>年</w:t>
      </w:r>
      <w:r>
        <w:rPr>
          <w:sz w:val="28"/>
        </w:rPr>
        <w:t>5</w:t>
      </w:r>
      <w:r>
        <w:rPr>
          <w:sz w:val="28"/>
        </w:rPr>
        <w:t>月</w:t>
      </w:r>
      <w:r>
        <w:rPr>
          <w:sz w:val="28"/>
        </w:rPr>
        <w:t>14</w:t>
      </w:r>
      <w:r>
        <w:rPr>
          <w:sz w:val="28"/>
        </w:rPr>
        <w:t>日印发</w:t>
      </w:r>
    </w:p>
    <w:p w:rsidR="00A950E5" w:rsidRDefault="00254AEC">
      <w:pPr>
        <w:spacing w:after="1433" w:line="259" w:lineRule="auto"/>
        <w:ind w:left="39" w:right="0" w:firstLine="0"/>
      </w:pPr>
      <w:r>
        <w:rPr>
          <w:rFonts w:ascii="Calibri" w:eastAsia="Calibri" w:hAnsi="Calibri" w:cs="Calibri"/>
          <w:noProof/>
          <w:sz w:val="22"/>
        </w:rPr>
        <mc:AlternateContent>
          <mc:Choice Requires="wpg">
            <w:drawing>
              <wp:inline distT="0" distB="0" distL="0" distR="0">
                <wp:extent cx="5486311" cy="15875"/>
                <wp:effectExtent l="0" t="0" r="0" b="0"/>
                <wp:docPr id="1018" name="Group 1018"/>
                <wp:cNvGraphicFramePr/>
                <a:graphic xmlns:a="http://schemas.openxmlformats.org/drawingml/2006/main">
                  <a:graphicData uri="http://schemas.microsoft.com/office/word/2010/wordprocessingGroup">
                    <wpg:wgp>
                      <wpg:cNvGrpSpPr/>
                      <wpg:grpSpPr>
                        <a:xfrm>
                          <a:off x="0" y="0"/>
                          <a:ext cx="5486311" cy="15875"/>
                          <a:chOff x="0" y="0"/>
                          <a:chExt cx="5486311" cy="15875"/>
                        </a:xfrm>
                      </wpg:grpSpPr>
                      <wps:wsp>
                        <wps:cNvPr id="1315" name="Shape 1315"/>
                        <wps:cNvSpPr/>
                        <wps:spPr>
                          <a:xfrm>
                            <a:off x="0" y="0"/>
                            <a:ext cx="5486311" cy="15875"/>
                          </a:xfrm>
                          <a:custGeom>
                            <a:avLst/>
                            <a:gdLst/>
                            <a:ahLst/>
                            <a:cxnLst/>
                            <a:rect l="0" t="0" r="0" b="0"/>
                            <a:pathLst>
                              <a:path w="5486311" h="15875">
                                <a:moveTo>
                                  <a:pt x="0" y="0"/>
                                </a:moveTo>
                                <a:lnTo>
                                  <a:pt x="5486311" y="0"/>
                                </a:lnTo>
                                <a:lnTo>
                                  <a:pt x="5486311" y="15875"/>
                                </a:lnTo>
                                <a:lnTo>
                                  <a:pt x="0" y="15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8" style="width:431.993pt;height:1.25pt;mso-position-horizontal-relative:char;mso-position-vertical-relative:line" coordsize="54863,158">
                <v:shape id="Shape 1316" style="position:absolute;width:54863;height:158;left:0;top:0;" coordsize="5486311,15875" path="m0,0l5486311,0l5486311,15875l0,15875l0,0">
                  <v:stroke weight="0pt" endcap="flat" joinstyle="miter" miterlimit="10" on="false" color="#000000" opacity="0"/>
                  <v:fill on="true" color="#000000"/>
                </v:shape>
              </v:group>
            </w:pict>
          </mc:Fallback>
        </mc:AlternateContent>
      </w:r>
    </w:p>
    <w:p w:rsidR="00A950E5" w:rsidRDefault="00254AEC">
      <w:pPr>
        <w:spacing w:after="438" w:line="259" w:lineRule="auto"/>
        <w:ind w:left="10" w:right="294" w:hanging="10"/>
        <w:jc w:val="right"/>
      </w:pPr>
      <w:r>
        <w:rPr>
          <w:rFonts w:ascii="宋体" w:eastAsia="宋体" w:hAnsi="宋体" w:cs="宋体"/>
          <w:color w:val="FFFFFF"/>
          <w:sz w:val="28"/>
        </w:rPr>
        <w:t>—</w:t>
      </w:r>
      <w:r>
        <w:rPr>
          <w:rFonts w:ascii="宋体" w:eastAsia="宋体" w:hAnsi="宋体" w:cs="宋体"/>
          <w:sz w:val="28"/>
        </w:rPr>
        <w:t>—3—</w:t>
      </w:r>
      <w:r>
        <w:rPr>
          <w:rFonts w:ascii="宋体" w:eastAsia="宋体" w:hAnsi="宋体" w:cs="宋体"/>
          <w:color w:val="FFFFFF"/>
          <w:sz w:val="28"/>
        </w:rPr>
        <w:t>—</w:t>
      </w:r>
    </w:p>
    <w:sectPr w:rsidR="00A950E5">
      <w:pgSz w:w="11906" w:h="16838"/>
      <w:pgMar w:top="2304" w:right="1279" w:bottom="877" w:left="158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44A08"/>
    <w:multiLevelType w:val="hybridMultilevel"/>
    <w:tmpl w:val="A7E45E3E"/>
    <w:lvl w:ilvl="0" w:tplc="ECEA685E">
      <w:start w:val="1"/>
      <w:numFmt w:val="ideographDigital"/>
      <w:lvlText w:val="%1、"/>
      <w:lvlJc w:val="left"/>
      <w:pPr>
        <w:ind w:left="0"/>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1" w:tplc="65307BAE">
      <w:start w:val="1"/>
      <w:numFmt w:val="lowerLetter"/>
      <w:lvlText w:val="%2"/>
      <w:lvlJc w:val="left"/>
      <w:pPr>
        <w:ind w:left="171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2" w:tplc="4A7CD42C">
      <w:start w:val="1"/>
      <w:numFmt w:val="lowerRoman"/>
      <w:lvlText w:val="%3"/>
      <w:lvlJc w:val="left"/>
      <w:pPr>
        <w:ind w:left="243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3" w:tplc="429019A4">
      <w:start w:val="1"/>
      <w:numFmt w:val="decimal"/>
      <w:lvlText w:val="%4"/>
      <w:lvlJc w:val="left"/>
      <w:pPr>
        <w:ind w:left="315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4" w:tplc="2E8AEB6C">
      <w:start w:val="1"/>
      <w:numFmt w:val="lowerLetter"/>
      <w:lvlText w:val="%5"/>
      <w:lvlJc w:val="left"/>
      <w:pPr>
        <w:ind w:left="387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5" w:tplc="570A822A">
      <w:start w:val="1"/>
      <w:numFmt w:val="lowerRoman"/>
      <w:lvlText w:val="%6"/>
      <w:lvlJc w:val="left"/>
      <w:pPr>
        <w:ind w:left="459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6" w:tplc="F5BE1D9A">
      <w:start w:val="1"/>
      <w:numFmt w:val="decimal"/>
      <w:lvlText w:val="%7"/>
      <w:lvlJc w:val="left"/>
      <w:pPr>
        <w:ind w:left="531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7" w:tplc="19042AE2">
      <w:start w:val="1"/>
      <w:numFmt w:val="lowerLetter"/>
      <w:lvlText w:val="%8"/>
      <w:lvlJc w:val="left"/>
      <w:pPr>
        <w:ind w:left="603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lvl w:ilvl="8" w:tplc="9104DCD2">
      <w:start w:val="1"/>
      <w:numFmt w:val="lowerRoman"/>
      <w:lvlText w:val="%9"/>
      <w:lvlJc w:val="left"/>
      <w:pPr>
        <w:ind w:left="6758"/>
      </w:pPr>
      <w:rPr>
        <w:rFonts w:ascii="仿宋_GB2312" w:eastAsia="仿宋_GB2312" w:hAnsi="仿宋_GB2312" w:cs="仿宋_GB2312"/>
        <w:b w:val="0"/>
        <w:i w:val="0"/>
        <w:strike w:val="0"/>
        <w:dstrike w:val="0"/>
        <w:color w:val="000000"/>
        <w:sz w:val="32"/>
        <w:szCs w:val="3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0E5"/>
    <w:rsid w:val="00254AEC"/>
    <w:rsid w:val="00A95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3A9ABD-C90D-4C09-8E9A-ED9C28CA5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96" w:lineRule="auto"/>
      <w:ind w:right="312" w:firstLine="628"/>
    </w:pPr>
    <w:rPr>
      <w:rFonts w:ascii="仿宋_GB2312" w:eastAsia="仿宋_GB2312" w:hAnsi="仿宋_GB2312" w:cs="仿宋_GB2312"/>
      <w:color w:val="000000"/>
      <w:sz w:val="32"/>
    </w:rPr>
  </w:style>
  <w:style w:type="paragraph" w:styleId="1">
    <w:name w:val="heading 1"/>
    <w:next w:val="a"/>
    <w:link w:val="10"/>
    <w:uiPriority w:val="9"/>
    <w:unhideWhenUsed/>
    <w:qFormat/>
    <w:pPr>
      <w:keepNext/>
      <w:keepLines/>
      <w:spacing w:after="602" w:line="275" w:lineRule="auto"/>
      <w:ind w:left="1063" w:hanging="989"/>
      <w:outlineLvl w:val="0"/>
    </w:pPr>
    <w:rPr>
      <w:rFonts w:ascii="FZXiaoBiaoSong-B05S" w:eastAsia="FZXiaoBiaoSong-B05S" w:hAnsi="FZXiaoBiaoSong-B05S" w:cs="FZXiaoBiaoSong-B05S"/>
      <w:color w:val="000000"/>
      <w:sz w:val="44"/>
    </w:rPr>
  </w:style>
  <w:style w:type="paragraph" w:styleId="2">
    <w:name w:val="heading 2"/>
    <w:next w:val="a"/>
    <w:link w:val="20"/>
    <w:uiPriority w:val="9"/>
    <w:unhideWhenUsed/>
    <w:qFormat/>
    <w:pPr>
      <w:keepNext/>
      <w:keepLines/>
      <w:spacing w:after="199" w:line="265" w:lineRule="auto"/>
      <w:ind w:left="10" w:hanging="10"/>
      <w:outlineLvl w:val="1"/>
    </w:pPr>
    <w:rPr>
      <w:rFonts w:ascii="仿宋_GB2312" w:eastAsia="仿宋_GB2312" w:hAnsi="仿宋_GB2312" w:cs="仿宋_GB2312"/>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FZXiaoBiaoSong-B05S" w:eastAsia="FZXiaoBiaoSong-B05S" w:hAnsi="FZXiaoBiaoSong-B05S" w:cs="FZXiaoBiaoSong-B05S"/>
      <w:color w:val="000000"/>
      <w:sz w:val="44"/>
    </w:rPr>
  </w:style>
  <w:style w:type="character" w:customStyle="1" w:styleId="20">
    <w:name w:val="标题 2 字符"/>
    <w:link w:val="2"/>
    <w:rPr>
      <w:rFonts w:ascii="仿宋_GB2312" w:eastAsia="仿宋_GB2312" w:hAnsi="仿宋_GB2312" w:cs="仿宋_GB2312"/>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165</Words>
  <Characters>944</Characters>
  <Application>Microsoft Office Word</Application>
  <DocSecurity>0</DocSecurity>
  <Lines>7</Lines>
  <Paragraphs>2</Paragraphs>
  <ScaleCrop>false</ScaleCrop>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赣财〔2013〕号</dc:title>
  <dc:subject/>
  <dc:creator>魏婷</dc:creator>
  <cp:keywords/>
  <cp:lastModifiedBy>Administrator</cp:lastModifiedBy>
  <cp:revision>2</cp:revision>
  <dcterms:created xsi:type="dcterms:W3CDTF">2024-05-24T08:19:00Z</dcterms:created>
  <dcterms:modified xsi:type="dcterms:W3CDTF">2024-05-24T08:19:00Z</dcterms:modified>
</cp:coreProperties>
</file>