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18A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县果茶发展服务中心2024年工作总结及2025年工作计划</w:t>
      </w:r>
    </w:p>
    <w:p w14:paraId="093A048F">
      <w:pPr>
        <w:keepNext w:val="0"/>
        <w:keepLines w:val="0"/>
        <w:pageBreakBefore w:val="0"/>
        <w:widowControl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p>
    <w:p w14:paraId="4DC15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2024年，石城县果茶发展服务中心</w:t>
      </w:r>
      <w:r>
        <w:rPr>
          <w:rFonts w:hint="eastAsia" w:ascii="仿宋_GB2312" w:hAnsi="仿宋_GB2312" w:eastAsia="仿宋_GB2312" w:cs="仿宋_GB2312"/>
          <w:sz w:val="32"/>
          <w:szCs w:val="32"/>
          <w:lang w:eastAsia="zh-CN"/>
        </w:rPr>
        <w:t>把</w:t>
      </w:r>
      <w:r>
        <w:rPr>
          <w:rFonts w:hint="eastAsia" w:ascii="仿宋_GB2312" w:hAnsi="仿宋_GB2312" w:eastAsia="仿宋_GB2312" w:cs="仿宋_GB2312"/>
          <w:b/>
          <w:sz w:val="32"/>
          <w:szCs w:val="32"/>
        </w:rPr>
        <w:t>“控制规模、提质增效、延链促销、唱响品牌”</w:t>
      </w:r>
      <w:r>
        <w:rPr>
          <w:rFonts w:hint="eastAsia" w:ascii="仿宋_GB2312" w:hAnsi="仿宋_GB2312" w:eastAsia="仿宋_GB2312" w:cs="仿宋_GB2312"/>
          <w:b w:val="0"/>
          <w:bCs/>
          <w:sz w:val="32"/>
          <w:szCs w:val="32"/>
          <w:lang w:eastAsia="zh-CN"/>
        </w:rPr>
        <w:t>作为全年工作</w:t>
      </w:r>
      <w:r>
        <w:rPr>
          <w:rFonts w:hint="eastAsia" w:ascii="仿宋_GB2312" w:hAnsi="仿宋_GB2312" w:eastAsia="仿宋_GB2312" w:cs="仿宋_GB2312"/>
          <w:color w:val="auto"/>
          <w:sz w:val="32"/>
          <w:szCs w:val="32"/>
          <w:lang w:eastAsia="zh-CN"/>
        </w:rPr>
        <w:t>总基调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以“抓牢一条主线、抓实两项教育、抓好三项主业、拧紧四个链条”的“三抓一拧”为抓手，落实“四个确保”，推动我县果业持续健康高质量发展。</w:t>
      </w:r>
    </w:p>
    <w:p w14:paraId="781F8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一、工作情况</w:t>
      </w:r>
    </w:p>
    <w:p w14:paraId="7C0236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（一）抓牢一条主线，确保实现产业高质量发展</w:t>
      </w:r>
    </w:p>
    <w:p w14:paraId="57B09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紧紧围绕高质量发展目标，制定年度工作计划，采取务实措施，有效推进落实。</w:t>
      </w:r>
    </w:p>
    <w:p w14:paraId="72B30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过细筹划。组织召开年度会议，研究部署工作，确定全年目标，制定《石城县2024年果业产业发展工作思路》。明晰大项重点任务，区分季度工作重点，抓实关键节点，把准关键环节，确保年度工作有方向，有抓手，有措施。</w:t>
      </w:r>
    </w:p>
    <w:p w14:paraId="2727F6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及时总结。组织召开半年工作会议，区分不同业务，按照条线条块召开专题会议，系统总结上半年工作和业务成绩，查找不足剖析隐患，明确下半年工作目标，推动工作有序落实。</w:t>
      </w:r>
    </w:p>
    <w:p w14:paraId="7EB0DB3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FF"/>
          <w:sz w:val="32"/>
          <w:szCs w:val="32"/>
          <w:lang w:val="en-US" w:eastAsia="zh-CN"/>
        </w:rPr>
      </w:pPr>
      <w:r>
        <w:rPr>
          <w:rFonts w:hint="eastAsia" w:ascii="楷体_GB2312" w:hAnsi="楷体_GB2312" w:eastAsia="楷体_GB2312" w:cs="楷体_GB2312"/>
          <w:b/>
          <w:bCs/>
          <w:sz w:val="32"/>
          <w:szCs w:val="32"/>
          <w:lang w:val="en-US" w:eastAsia="zh-CN"/>
        </w:rPr>
        <w:t>（二）抓实两项教育，确保学习教育落实</w:t>
      </w:r>
      <w:r>
        <w:rPr>
          <w:rFonts w:hint="eastAsia" w:ascii="楷体_GB2312" w:hAnsi="楷体_GB2312" w:eastAsia="楷体_GB2312" w:cs="楷体_GB2312"/>
          <w:b/>
          <w:bCs/>
          <w:color w:val="auto"/>
          <w:sz w:val="32"/>
          <w:szCs w:val="32"/>
          <w:lang w:val="en-US" w:eastAsia="zh-CN"/>
        </w:rPr>
        <w:t>见效</w:t>
      </w:r>
    </w:p>
    <w:p w14:paraId="676704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1.抓好日常教育，把导向、明方向。</w:t>
      </w:r>
      <w:r>
        <w:rPr>
          <w:rFonts w:hint="eastAsia" w:ascii="仿宋_GB2312" w:hAnsi="仿宋_GB2312" w:eastAsia="仿宋_GB2312" w:cs="仿宋_GB2312"/>
          <w:b w:val="0"/>
          <w:bCs w:val="0"/>
          <w:sz w:val="32"/>
          <w:szCs w:val="32"/>
          <w:lang w:val="en-US" w:eastAsia="zh-CN"/>
        </w:rPr>
        <w:t>按要求开展好“三会一课”及中心组理论学习，严格落实第一议题制度，定期组织党员干部常态化持续跟进学习党的重大理论观点、重大决策部署等，教育引导党员干部自觉在政治上行动上同以习近平同志为核心的党中央保持高度一致，增强“四个意识”、坚定“四个自信”、做到“两个维护”。按照意识形态工作责任制，把意识形态工作作为党的建设重要内容，纳入重要议事日程，与各项工作同部署、同落实、同检查。全年开展主题党日活动12次，召开中心党组理论学习中心组学习12次、讲党课4次。同时，统筹党建融合，聚力人大建议、政协提案办理工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承办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人大</w:t>
      </w:r>
      <w:r>
        <w:rPr>
          <w:rFonts w:hint="eastAsia" w:ascii="仿宋_GB2312" w:hAnsi="仿宋_GB2312" w:eastAsia="仿宋_GB2312" w:cs="仿宋_GB2312"/>
          <w:color w:val="auto"/>
          <w:sz w:val="32"/>
          <w:szCs w:val="32"/>
          <w:lang w:eastAsia="zh-CN"/>
        </w:rPr>
        <w:t>代表建议</w:t>
      </w:r>
      <w:r>
        <w:rPr>
          <w:rFonts w:hint="eastAsia" w:ascii="仿宋_GB2312" w:hAnsi="仿宋_GB2312" w:eastAsia="仿宋_GB2312" w:cs="仿宋_GB2312"/>
          <w:sz w:val="32"/>
          <w:szCs w:val="32"/>
          <w:lang w:val="en-US" w:eastAsia="zh-CN"/>
        </w:rPr>
        <w:t>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县政协</w:t>
      </w:r>
      <w:r>
        <w:rPr>
          <w:rFonts w:hint="eastAsia" w:ascii="仿宋_GB2312" w:hAnsi="仿宋_GB2312" w:eastAsia="仿宋_GB2312" w:cs="仿宋_GB2312"/>
          <w:sz w:val="32"/>
          <w:szCs w:val="32"/>
          <w:lang w:eastAsia="zh-CN"/>
        </w:rPr>
        <w:t>提案</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lang w:eastAsia="zh-CN"/>
        </w:rPr>
        <w:t>为切实做好承办工作，我中心定期召开调度会，</w:t>
      </w:r>
      <w:r>
        <w:rPr>
          <w:rFonts w:hint="eastAsia" w:ascii="仿宋_GB2312" w:hAnsi="仿宋_GB2312" w:eastAsia="仿宋_GB2312" w:cs="仿宋_GB2312"/>
          <w:sz w:val="32"/>
          <w:szCs w:val="32"/>
        </w:rPr>
        <w:t>做到“</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落实措施、限</w:t>
      </w:r>
      <w:r>
        <w:rPr>
          <w:rFonts w:hint="eastAsia" w:ascii="仿宋_GB2312" w:hAnsi="仿宋_GB2312" w:eastAsia="仿宋_GB2312" w:cs="仿宋_GB2312"/>
          <w:sz w:val="32"/>
          <w:szCs w:val="32"/>
        </w:rPr>
        <w:t>定时限”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三落实一限定”，</w:t>
      </w:r>
      <w:r>
        <w:rPr>
          <w:rFonts w:hint="eastAsia" w:ascii="仿宋_GB2312" w:hAnsi="仿宋_GB2312" w:eastAsia="仿宋_GB2312" w:cs="仿宋_GB2312"/>
          <w:sz w:val="32"/>
          <w:szCs w:val="32"/>
          <w:lang w:eastAsia="zh-CN"/>
        </w:rPr>
        <w:t>目前三项提案已办理完结。</w:t>
      </w:r>
    </w:p>
    <w:p w14:paraId="4784F1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2.抓好党纪学习教育，知纪律、守底线。</w:t>
      </w:r>
      <w:r>
        <w:rPr>
          <w:rFonts w:hint="eastAsia" w:ascii="仿宋_GB2312" w:hAnsi="仿宋_GB2312" w:eastAsia="仿宋_GB2312" w:cs="仿宋_GB2312"/>
          <w:sz w:val="32"/>
          <w:szCs w:val="32"/>
          <w:lang w:val="en-US" w:eastAsia="zh-CN"/>
        </w:rPr>
        <w:t>严格按照上级要求，及时召开党纪学习教育启动会，传达学习上级精神，统一思想认识，明确职责分工，制定了详细的工作方案和学习计划。通过多种渠道和形式，广泛宣传党纪学习教育的重要意义、目标任务和方法步骤，提高党员干部的知晓率和参与度。利用工作群、宣传栏等平台，及时发布学习资料、活动动态和先进典型，营造了良好的学习氛围。坚持集中学与个人学、理论学习与实践教育、线上学习与线下学习相结合等方式，让党员干部把党的纪律规矩内化于心、外化于行。共开展集中学习4次，组织党员观看警示片3次，参观廉政教育基地1次，到红色基地实训1次，讲授专题党课2次。</w:t>
      </w:r>
    </w:p>
    <w:p w14:paraId="0D51F68F">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（三）抓</w:t>
      </w:r>
      <w:r>
        <w:rPr>
          <w:rFonts w:hint="eastAsia" w:ascii="楷体_GB2312" w:hAnsi="楷体_GB2312" w:eastAsia="楷体_GB2312" w:cs="楷体_GB2312"/>
          <w:b/>
          <w:bCs/>
          <w:color w:val="auto"/>
          <w:sz w:val="32"/>
          <w:szCs w:val="32"/>
          <w:lang w:val="en-US" w:eastAsia="zh-CN"/>
        </w:rPr>
        <w:t>好</w:t>
      </w:r>
      <w:r>
        <w:rPr>
          <w:rFonts w:hint="eastAsia" w:ascii="楷体_GB2312" w:hAnsi="楷体_GB2312" w:eastAsia="楷体_GB2312" w:cs="楷体_GB2312"/>
          <w:b/>
          <w:bCs/>
          <w:sz w:val="32"/>
          <w:szCs w:val="32"/>
          <w:lang w:val="en-US" w:eastAsia="zh-CN"/>
        </w:rPr>
        <w:t>三项主业，确保年度任务圆满完成</w:t>
      </w:r>
    </w:p>
    <w:p w14:paraId="567E9EF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1.抓好柑橘黄龙病防控工作。</w:t>
      </w:r>
      <w:r>
        <w:rPr>
          <w:rFonts w:hint="eastAsia" w:ascii="仿宋_GB2312" w:hAnsi="仿宋_GB2312" w:eastAsia="仿宋_GB2312" w:cs="仿宋_GB2312"/>
          <w:b w:val="0"/>
          <w:bCs w:val="0"/>
          <w:sz w:val="32"/>
          <w:szCs w:val="32"/>
          <w:lang w:val="en-US" w:eastAsia="zh-CN"/>
        </w:rPr>
        <w:t>按照“政府主导、属地主责、农户主体、统防统治、联防联控”的原则开展柑橘黄龙病综合防控工作。下发</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2024年柑橘黄龙病防控工作方案</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2024年度开展柑橘类失管、半失管果园集中清理工作的通知》</w:t>
      </w:r>
      <w:r>
        <w:rPr>
          <w:rFonts w:hint="eastAsia" w:ascii="仿宋_GB2312" w:hAnsi="仿宋_GB2312" w:eastAsia="仿宋_GB2312" w:cs="仿宋_GB2312"/>
          <w:sz w:val="32"/>
          <w:szCs w:val="32"/>
          <w:lang w:eastAsia="zh-CN"/>
        </w:rPr>
        <w:t>等文件，组织农民技术员</w:t>
      </w:r>
      <w:r>
        <w:rPr>
          <w:rFonts w:hint="eastAsia" w:ascii="仿宋_GB2312" w:hAnsi="仿宋_GB2312" w:eastAsia="仿宋_GB2312" w:cs="仿宋_GB2312"/>
          <w:b w:val="0"/>
          <w:bCs w:val="0"/>
          <w:sz w:val="32"/>
          <w:szCs w:val="32"/>
          <w:lang w:val="en-US" w:eastAsia="zh-CN"/>
        </w:rPr>
        <w:t>对我县柑橘黄龙病发病树进行动态摸排标识，并建立台账，并按照“五步法”对标识病树全面摸排和清除。对排查出的失管、半失管果园，督促果农及时清除到位，确保隐患清除到位。全年组织开展全县柑橘黄龙病防控暨果园管理技术培训班4次，聘用16名农民技术员全覆盖到果园开展黄龙病防控技术指导，进一步提升果农对防控柑橘黄龙病的思想认识，提升防控水平。实时监测病虫动态，及时发布虫情预测预警信息，做好病虫害防治工作；成立飞防服务队，对全县开展无人机飞防防治柑橘木虱27590亩次，迅速降低了柑橘木虱虫口基数。制定了</w:t>
      </w:r>
      <w:r>
        <w:rPr>
          <w:rFonts w:hint="eastAsia" w:ascii="仿宋_GB2312" w:hAnsi="仿宋_GB2312" w:eastAsia="仿宋_GB2312" w:cs="仿宋_GB2312"/>
          <w:spacing w:val="0"/>
          <w:sz w:val="32"/>
          <w:szCs w:val="32"/>
        </w:rPr>
        <w:t>《石城县2024年柑橘苗木管理工作方案》</w:t>
      </w:r>
      <w:r>
        <w:rPr>
          <w:rFonts w:hint="eastAsia" w:ascii="仿宋_GB2312" w:hAnsi="仿宋_GB2312" w:eastAsia="仿宋_GB2312" w:cs="仿宋_GB2312"/>
          <w:b w:val="0"/>
          <w:bCs w:val="0"/>
          <w:sz w:val="32"/>
          <w:szCs w:val="32"/>
          <w:lang w:val="en-US" w:eastAsia="zh-CN"/>
        </w:rPr>
        <w:t>，共开展苗木市场整治167人次，累计销毁“三无”苗木1100余株。上一年度</w:t>
      </w:r>
      <w:r>
        <w:rPr>
          <w:rFonts w:hint="eastAsia" w:ascii="仿宋_GB2312" w:hAnsi="仿宋_GB2312" w:eastAsia="仿宋_GB2312" w:cs="仿宋_GB2312"/>
          <w:b w:val="0"/>
          <w:bCs w:val="0"/>
          <w:color w:val="auto"/>
          <w:sz w:val="32"/>
          <w:szCs w:val="32"/>
          <w:lang w:val="en-US" w:eastAsia="zh-CN"/>
        </w:rPr>
        <w:t>普查出柑橘黄龙病病树22万余株，失管、半失管果园</w:t>
      </w:r>
      <w:r>
        <w:rPr>
          <w:rFonts w:hint="eastAsia" w:ascii="仿宋_GB2312" w:hAnsi="仿宋_GB2312" w:eastAsia="仿宋_GB2312" w:cs="仿宋_GB2312"/>
          <w:spacing w:val="0"/>
          <w:sz w:val="32"/>
          <w:szCs w:val="32"/>
          <w:lang w:val="en-US" w:eastAsia="zh-CN"/>
        </w:rPr>
        <w:t>2833</w:t>
      </w:r>
      <w:r>
        <w:rPr>
          <w:rFonts w:hint="eastAsia" w:ascii="仿宋_GB2312" w:hAnsi="仿宋_GB2312" w:eastAsia="仿宋_GB2312" w:cs="仿宋_GB2312"/>
          <w:b w:val="0"/>
          <w:bCs w:val="0"/>
          <w:color w:val="auto"/>
          <w:sz w:val="32"/>
          <w:szCs w:val="32"/>
          <w:lang w:val="en-US" w:eastAsia="zh-CN"/>
        </w:rPr>
        <w:t>亩，已全部清除到位。</w:t>
      </w:r>
    </w:p>
    <w:p w14:paraId="6F4AD8F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2.抓好果园项目建设工作。</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sz w:val="32"/>
          <w:szCs w:val="32"/>
          <w:lang w:val="en-US" w:eastAsia="zh-CN"/>
        </w:rPr>
        <w:t>建设赣南脐橙水肥一体化建设财政奖补项目面积2800亩</w:t>
      </w:r>
      <w:r>
        <w:rPr>
          <w:rFonts w:hint="default" w:ascii="仿宋_GB2312" w:hAnsi="仿宋_GB2312" w:eastAsia="仿宋_GB2312" w:cs="仿宋_GB2312"/>
          <w:sz w:val="32"/>
          <w:szCs w:val="32"/>
          <w:lang w:val="en-US" w:eastAsia="zh-CN"/>
        </w:rPr>
        <w:t>84万元</w:t>
      </w:r>
      <w:r>
        <w:rPr>
          <w:rFonts w:hint="eastAsia" w:ascii="仿宋_GB2312" w:hAnsi="仿宋_GB2312" w:eastAsia="仿宋_GB2312" w:cs="仿宋_GB2312"/>
          <w:sz w:val="32"/>
          <w:szCs w:val="32"/>
          <w:lang w:val="en-US" w:eastAsia="zh-CN"/>
        </w:rPr>
        <w:t>，创建标准化生态果园5个</w:t>
      </w:r>
      <w:r>
        <w:rPr>
          <w:rFonts w:hint="eastAsia" w:ascii="仿宋_GB2312" w:hAnsi="仿宋_GB2312" w:eastAsia="仿宋_GB2312" w:cs="仿宋_GB2312"/>
          <w:b w:val="0"/>
          <w:bCs w:val="0"/>
          <w:sz w:val="32"/>
          <w:szCs w:val="32"/>
          <w:lang w:val="en-US" w:eastAsia="zh-CN"/>
        </w:rPr>
        <w:t>，建立沃土工程3000亩，打造“无废果园”3个，建设“智慧果园”100亩，新建省级黄龙病联防联控示范点1个，市级2个，县级10个。</w:t>
      </w:r>
    </w:p>
    <w:p w14:paraId="471B1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3.抓好赣南脐橙销售工作。</w:t>
      </w:r>
      <w:r>
        <w:rPr>
          <w:rFonts w:hint="eastAsia" w:ascii="仿宋_GB2312" w:hAnsi="仿宋_GB2312" w:eastAsia="仿宋_GB2312" w:cs="仿宋_GB2312"/>
          <w:b w:val="0"/>
          <w:bCs w:val="0"/>
          <w:sz w:val="32"/>
          <w:szCs w:val="32"/>
          <w:lang w:val="en-US" w:eastAsia="zh-CN"/>
        </w:rPr>
        <w:t>今年我县赣南脐橙产量达2万吨，同比去年增长11%。为确保我县脐橙丰产高销，坚持以“农夫山泉维护好，德都和</w:t>
      </w:r>
      <w:r>
        <w:rPr>
          <w:rFonts w:hint="default" w:ascii="仿宋_GB2312" w:hAnsi="仿宋_GB2312" w:eastAsia="仿宋_GB2312" w:cs="仿宋_GB2312"/>
          <w:b w:val="0"/>
          <w:bCs w:val="0"/>
          <w:sz w:val="32"/>
          <w:szCs w:val="32"/>
          <w:lang w:val="en-US" w:eastAsia="zh-CN"/>
        </w:rPr>
        <w:t>吉</w:t>
      </w:r>
      <w:r>
        <w:rPr>
          <w:rFonts w:hint="eastAsia" w:ascii="仿宋_GB2312" w:hAnsi="仿宋_GB2312" w:eastAsia="仿宋_GB2312" w:cs="仿宋_GB2312"/>
          <w:b w:val="0"/>
          <w:bCs w:val="0"/>
          <w:sz w:val="32"/>
          <w:szCs w:val="32"/>
          <w:lang w:val="en-US" w:eastAsia="zh-CN"/>
        </w:rPr>
        <w:t>品优</w:t>
      </w:r>
      <w:r>
        <w:rPr>
          <w:rFonts w:hint="default" w:ascii="仿宋_GB2312" w:hAnsi="仿宋_GB2312" w:eastAsia="仿宋_GB2312" w:cs="仿宋_GB2312"/>
          <w:b w:val="0"/>
          <w:bCs w:val="0"/>
          <w:sz w:val="32"/>
          <w:szCs w:val="32"/>
          <w:lang w:val="en-US" w:eastAsia="zh-CN"/>
        </w:rPr>
        <w:t>服务</w:t>
      </w:r>
      <w:r>
        <w:rPr>
          <w:rFonts w:hint="eastAsia" w:ascii="仿宋_GB2312" w:hAnsi="仿宋_GB2312" w:eastAsia="仿宋_GB2312" w:cs="仿宋_GB2312"/>
          <w:b w:val="0"/>
          <w:bCs w:val="0"/>
          <w:sz w:val="32"/>
          <w:szCs w:val="32"/>
          <w:lang w:val="en-US" w:eastAsia="zh-CN"/>
        </w:rPr>
        <w:t>好，零销市场拓展好”的“三三三”</w:t>
      </w:r>
      <w:r>
        <w:rPr>
          <w:rFonts w:hint="default" w:ascii="仿宋_GB2312" w:hAnsi="仿宋_GB2312" w:eastAsia="仿宋_GB2312" w:cs="仿宋_GB2312"/>
          <w:b w:val="0"/>
          <w:bCs w:val="0"/>
          <w:sz w:val="32"/>
          <w:szCs w:val="32"/>
          <w:lang w:val="en-US" w:eastAsia="zh-CN"/>
        </w:rPr>
        <w:t>订购</w:t>
      </w:r>
      <w:r>
        <w:rPr>
          <w:rFonts w:hint="eastAsia" w:ascii="仿宋_GB2312" w:hAnsi="仿宋_GB2312" w:eastAsia="仿宋_GB2312" w:cs="仿宋_GB2312"/>
          <w:b w:val="0"/>
          <w:bCs w:val="0"/>
          <w:sz w:val="32"/>
          <w:szCs w:val="32"/>
          <w:lang w:val="en-US" w:eastAsia="zh-CN"/>
        </w:rPr>
        <w:t>模式为抓手，</w:t>
      </w:r>
      <w:r>
        <w:rPr>
          <w:rFonts w:hint="default" w:ascii="仿宋_GB2312" w:hAnsi="仿宋_GB2312" w:eastAsia="仿宋_GB2312" w:cs="仿宋_GB2312"/>
          <w:b w:val="0"/>
          <w:bCs w:val="0"/>
          <w:sz w:val="32"/>
          <w:szCs w:val="32"/>
          <w:lang w:val="en-US" w:eastAsia="zh-CN"/>
        </w:rPr>
        <w:t>确保三个渠道采购量分别达县总产量30%以上</w:t>
      </w:r>
      <w:r>
        <w:rPr>
          <w:rFonts w:hint="eastAsia" w:ascii="仿宋_GB2312" w:hAnsi="仿宋_GB2312" w:eastAsia="仿宋_GB2312" w:cs="仿宋_GB2312"/>
          <w:b w:val="0"/>
          <w:bCs w:val="0"/>
          <w:sz w:val="32"/>
          <w:szCs w:val="32"/>
          <w:lang w:val="en-US" w:eastAsia="zh-CN"/>
        </w:rPr>
        <w:t>。</w:t>
      </w:r>
    </w:p>
    <w:p w14:paraId="2EAC37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高位谋划部署，夯实果业营销基础。县主要领导多次听取汇报、指导脐橙营销工作，并到德都食品、吉品优等企业调研。县分管领导常态化调度脐橙营销工作，召开全县营销工作会议。研究制定2024年营销工作方案及系列脐橙营销活动方案。今年我县“赣南早”产量83万斤，已全部订购完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全力延链促销，提升果业整体价值。加强与农夫山泉深度联系，服务好龙头企业吉品优、德都食品，召开中小型电商和销售企业座谈交流会。引进茶百道、轻茶里等对脐橙花茶进行研发。打造3-4个果旅融合基地，做精做优“橙黄橘绿 乡村胜景”全国乡村旅游精品路线。今年以来，德都食品到20余个地区、6个国家开展赣南脐橙推介活动，县分管领导组织企业参加2024智慧农业博览会和中国农民丰收节，分别免费获1个、3个展位。</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加强沟通交流，畅通营销渠道。</w:t>
      </w:r>
      <w:r>
        <w:rPr>
          <w:rFonts w:hint="eastAsia" w:ascii="仿宋_GB2312" w:hAnsi="仿宋_GB2312" w:eastAsia="仿宋_GB2312" w:cs="仿宋_GB2312"/>
          <w:b/>
          <w:bCs/>
          <w:sz w:val="32"/>
          <w:szCs w:val="32"/>
          <w:lang w:val="en-US" w:eastAsia="zh-CN"/>
        </w:rPr>
        <w:t>贯彻“请进来”。</w:t>
      </w:r>
      <w:r>
        <w:rPr>
          <w:rFonts w:hint="eastAsia" w:ascii="仿宋_GB2312" w:hAnsi="仿宋_GB2312" w:eastAsia="仿宋_GB2312" w:cs="仿宋_GB2312"/>
          <w:b w:val="0"/>
          <w:bCs w:val="0"/>
          <w:sz w:val="32"/>
          <w:szCs w:val="32"/>
          <w:lang w:val="en-US" w:eastAsia="zh-CN"/>
        </w:rPr>
        <w:t>邀请厦门国科创新研究院台湾团队、福建商贸业联合会来县考察。主动对接福建好多多商贸集团、榕基软件公司，吉品优已向好多多商贸集团发送脐橙3万余斤。加强与司法部沟通汇报，与赣州市旅投集团紧密联系，争取部门联动，帮助我县果农销售脐橙。</w:t>
      </w:r>
      <w:r>
        <w:rPr>
          <w:rFonts w:hint="eastAsia" w:ascii="仿宋_GB2312" w:hAnsi="仿宋_GB2312" w:eastAsia="仿宋_GB2312" w:cs="仿宋_GB2312"/>
          <w:b/>
          <w:bCs/>
          <w:sz w:val="32"/>
          <w:szCs w:val="32"/>
          <w:lang w:val="en-US" w:eastAsia="zh-CN"/>
        </w:rPr>
        <w:t>落实“走出去”。</w:t>
      </w:r>
      <w:r>
        <w:rPr>
          <w:rFonts w:hint="eastAsia" w:ascii="仿宋_GB2312" w:hAnsi="仿宋_GB2312" w:eastAsia="仿宋_GB2312" w:cs="仿宋_GB2312"/>
          <w:b w:val="0"/>
          <w:bCs w:val="0"/>
          <w:sz w:val="32"/>
          <w:szCs w:val="32"/>
          <w:lang w:val="en-US" w:eastAsia="zh-CN"/>
        </w:rPr>
        <w:t>确定福建省福州市为今年我县赣南脐橙营销主攻城市，制定好主攻城市营销方案，选定福州海峡果品批发市场作为推介会活动场所，并设立脐橙直营店。参加石城县2024“石泉食美石城”特色农产品（福州）营销推介及2024年度赣南脐橙国际博览会等活动，进一步扩大我县脐橙产业影响力。</w:t>
      </w:r>
      <w:r>
        <w:rPr>
          <w:rFonts w:hint="eastAsia" w:ascii="仿宋_GB2312" w:hAnsi="仿宋_GB2312" w:eastAsia="仿宋_GB2312" w:cs="仿宋_GB2312"/>
          <w:b/>
          <w:bCs/>
          <w:sz w:val="32"/>
          <w:szCs w:val="32"/>
          <w:lang w:val="en-US" w:eastAsia="zh-CN"/>
        </w:rPr>
        <w:t>坚持“线上+线下”。</w:t>
      </w:r>
      <w:r>
        <w:rPr>
          <w:rFonts w:hint="eastAsia" w:ascii="仿宋_GB2312" w:hAnsi="仿宋_GB2312" w:eastAsia="仿宋_GB2312" w:cs="仿宋_GB2312"/>
          <w:b w:val="0"/>
          <w:bCs w:val="0"/>
          <w:sz w:val="32"/>
          <w:szCs w:val="32"/>
          <w:lang w:val="en-US" w:eastAsia="zh-CN"/>
        </w:rPr>
        <w:t>举办赣南脐橙采摘仪式、石城县2024年赣南脐橙果品质量评比等活动，开展“四进一融”（进机场、进高铁、进地铁、进小区和融合新媒体）活动，展示我县脐橙的卓越品质。做好“果业+文旅”文章，开展脐橙采摘旅游营销季“微”推广活动，唱响“好山好水产好橙”品牌。拓宽线上销售渠道，加大电商扶持力度，线上交易量达到总产量的60%以上。</w:t>
      </w:r>
    </w:p>
    <w:p w14:paraId="33A58B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（四）拧紧四</w:t>
      </w:r>
      <w:r>
        <w:rPr>
          <w:rFonts w:hint="eastAsia" w:ascii="楷体_GB2312" w:hAnsi="楷体_GB2312" w:eastAsia="楷体_GB2312" w:cs="楷体_GB2312"/>
          <w:b/>
          <w:bCs/>
          <w:color w:val="auto"/>
          <w:sz w:val="32"/>
          <w:szCs w:val="32"/>
          <w:lang w:val="en-US" w:eastAsia="zh-CN"/>
        </w:rPr>
        <w:t>个</w:t>
      </w:r>
      <w:r>
        <w:rPr>
          <w:rFonts w:hint="eastAsia" w:ascii="楷体_GB2312" w:hAnsi="楷体_GB2312" w:eastAsia="楷体_GB2312" w:cs="楷体_GB2312"/>
          <w:b/>
          <w:bCs/>
          <w:sz w:val="32"/>
          <w:szCs w:val="32"/>
          <w:lang w:val="en-US" w:eastAsia="zh-CN"/>
        </w:rPr>
        <w:t>链条，确保单位持续发展</w:t>
      </w:r>
    </w:p>
    <w:p w14:paraId="66B77758">
      <w:pPr>
        <w:pStyle w:val="2"/>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拧紧责任链条。各项县委、县政府下达的中心工作得到贯彻落实，信访维稳社会治安综合治理、招工送工、企业帮扶、“五城同创”、献血任务等各项工作都保质保量完成。同时，严格按照上级文件要求，继续选派“业务精、能力强、作风硬”的党员干部组成乡村振兴驻村工作队，下派到龙岗乡水庙村抓乡村振兴工作。积极落实帮扶责任，全面宣传政策，深入交流，增进感情，提高群众认可度，积极走访慰问了困难人员。同时，充分利用自身专业优势，选派技术顾问，为所挂点村提供脐橙种植技术帮助。</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拧紧制度链条。加强制度建设，制定《石城县果茶发展服务中心机关管理制度》，抓好干部队伍建设，推动工作有效落实、单位建设有序发展，改革创新有力推进。</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拧紧管理链条。牢固树立安全发展理念，严格按照省巡视组巡视反馈意见落实整改工作，印发《石城县果业领域安全生产治本攻坚三年行动工作方案（2024-2026年）》、《关于印发建立我县果园等有限空间安全生产长效闭环机制的通知》等文件，进一步巩固整改成效。今年以来，我中心对全县果业系统人员开展果园安全生产知识培训11次，果农全覆盖观看《有限空间里的无限悲痛》警示教育片。</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val="0"/>
          <w:bCs w:val="0"/>
          <w:sz w:val="32"/>
          <w:szCs w:val="32"/>
          <w:lang w:eastAsia="zh-CN"/>
        </w:rPr>
        <w:t>拧紧服务链条。今年以来，我县组织果业技术培训</w:t>
      </w:r>
      <w:r>
        <w:rPr>
          <w:rFonts w:hint="eastAsia" w:ascii="仿宋_GB2312" w:hAnsi="仿宋_GB2312" w:eastAsia="仿宋_GB2312" w:cs="仿宋_GB2312"/>
          <w:b w:val="0"/>
          <w:bCs w:val="0"/>
          <w:sz w:val="32"/>
          <w:szCs w:val="32"/>
          <w:lang w:val="en-US" w:eastAsia="zh-CN"/>
        </w:rPr>
        <w:t>56</w:t>
      </w:r>
      <w:r>
        <w:rPr>
          <w:rFonts w:hint="eastAsia" w:ascii="仿宋_GB2312" w:hAnsi="仿宋_GB2312" w:eastAsia="仿宋_GB2312" w:cs="仿宋_GB2312"/>
          <w:b w:val="0"/>
          <w:bCs w:val="0"/>
          <w:sz w:val="32"/>
          <w:szCs w:val="32"/>
          <w:lang w:eastAsia="zh-CN"/>
        </w:rPr>
        <w:t>次，累计培训果业技术员及果农</w:t>
      </w:r>
      <w:r>
        <w:rPr>
          <w:rFonts w:hint="eastAsia" w:ascii="仿宋_GB2312" w:hAnsi="仿宋_GB2312" w:eastAsia="仿宋_GB2312" w:cs="仿宋_GB2312"/>
          <w:b w:val="0"/>
          <w:bCs w:val="0"/>
          <w:sz w:val="32"/>
          <w:szCs w:val="32"/>
          <w:lang w:val="en-US" w:eastAsia="zh-CN"/>
        </w:rPr>
        <w:t>3476</w:t>
      </w:r>
      <w:r>
        <w:rPr>
          <w:rFonts w:hint="eastAsia" w:ascii="仿宋_GB2312" w:hAnsi="仿宋_GB2312" w:eastAsia="仿宋_GB2312" w:cs="仿宋_GB2312"/>
          <w:b w:val="0"/>
          <w:bCs w:val="0"/>
          <w:sz w:val="32"/>
          <w:szCs w:val="32"/>
          <w:lang w:eastAsia="zh-CN"/>
        </w:rPr>
        <w:t>人次。针对今年黄龙病有爆发的趋势，组织技术人员下到果园，深入基地培训指导果农清理病树，防治木虱。</w:t>
      </w:r>
    </w:p>
    <w:p w14:paraId="626D67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二、2025</w:t>
      </w:r>
      <w:r>
        <w:rPr>
          <w:rFonts w:hint="eastAsia" w:ascii="黑体" w:hAnsi="黑体" w:eastAsia="黑体" w:cs="黑体"/>
          <w:sz w:val="32"/>
          <w:szCs w:val="32"/>
        </w:rPr>
        <w:t>年</w:t>
      </w:r>
      <w:r>
        <w:rPr>
          <w:rFonts w:hint="eastAsia" w:ascii="黑体" w:hAnsi="黑体" w:eastAsia="黑体" w:cs="黑体"/>
          <w:sz w:val="32"/>
          <w:szCs w:val="32"/>
          <w:lang w:eastAsia="zh-CN"/>
        </w:rPr>
        <w:t>工作计划</w:t>
      </w:r>
    </w:p>
    <w:p w14:paraId="5CD5C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val="en-US" w:eastAsia="zh-CN"/>
        </w:rPr>
        <w:t>2025年，石城县果业发展将</w:t>
      </w:r>
      <w:r>
        <w:rPr>
          <w:rFonts w:hint="eastAsia" w:ascii="仿宋_GB2312" w:hAnsi="仿宋_GB2312" w:eastAsia="仿宋_GB2312" w:cs="仿宋_GB2312"/>
          <w:sz w:val="32"/>
          <w:szCs w:val="32"/>
        </w:rPr>
        <w:t>继续深入贯彻落实党的二十大精神和习近平总书记考察江西重要讲话精神，</w:t>
      </w:r>
      <w:r>
        <w:rPr>
          <w:rFonts w:hint="eastAsia" w:ascii="仿宋_GB2312" w:hAnsi="仿宋_GB2312" w:eastAsia="仿宋_GB2312" w:cs="仿宋_GB2312"/>
          <w:sz w:val="32"/>
          <w:szCs w:val="32"/>
          <w:lang w:eastAsia="zh-CN"/>
        </w:rPr>
        <w:t>坚持党建引领指导产业发展，以“优化结构、提质高效、唱响品牌”为总体工作思路，实施“123”具体举措，推动我县果业高质量发展。</w:t>
      </w:r>
    </w:p>
    <w:p w14:paraId="475D06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第一，坚持</w:t>
      </w:r>
      <w:r>
        <w:rPr>
          <w:rFonts w:hint="eastAsia" w:ascii="楷体_GB2312" w:hAnsi="楷体_GB2312" w:eastAsia="楷体_GB2312" w:cs="楷体_GB2312"/>
          <w:b/>
          <w:bCs/>
          <w:sz w:val="32"/>
          <w:szCs w:val="32"/>
          <w:lang w:eastAsia="zh-CN"/>
        </w:rPr>
        <w:t>党建</w:t>
      </w:r>
      <w:r>
        <w:rPr>
          <w:rFonts w:hint="eastAsia" w:ascii="楷体_GB2312" w:hAnsi="楷体_GB2312" w:eastAsia="楷体_GB2312" w:cs="楷体_GB2312"/>
          <w:b/>
          <w:bCs/>
          <w:sz w:val="32"/>
          <w:szCs w:val="32"/>
        </w:rPr>
        <w:t>引领</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推进果业高质量发展</w:t>
      </w:r>
    </w:p>
    <w:p w14:paraId="394B5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始终把党建工作摆在首位，</w:t>
      </w:r>
      <w:r>
        <w:rPr>
          <w:rFonts w:hint="eastAsia" w:ascii="仿宋_GB2312" w:hAnsi="仿宋_GB2312" w:eastAsia="仿宋_GB2312" w:cs="仿宋_GB2312"/>
          <w:b w:val="0"/>
          <w:bCs w:val="0"/>
          <w:sz w:val="32"/>
          <w:szCs w:val="32"/>
          <w:lang w:eastAsia="zh-CN"/>
        </w:rPr>
        <w:t>突出抓好“三会一课”、意识形态责任制、党风廉政建设等工作落实，</w:t>
      </w:r>
      <w:r>
        <w:rPr>
          <w:rFonts w:hint="eastAsia" w:ascii="仿宋_GB2312" w:hAnsi="仿宋_GB2312" w:eastAsia="仿宋_GB2312" w:cs="仿宋_GB2312"/>
          <w:sz w:val="32"/>
          <w:szCs w:val="32"/>
        </w:rPr>
        <w:t>筑牢理想信念根基。以学习贯彻习近平新时代中国特色社会主义思想为主线、提高党员干部素质为根本、打造让党放心人民满意模范机关为目标，紧密结合工作实际，将机关党建工作与果业工作、</w:t>
      </w:r>
      <w:r>
        <w:rPr>
          <w:rFonts w:hint="eastAsia" w:ascii="仿宋_GB2312" w:hAnsi="仿宋_GB2312" w:eastAsia="仿宋_GB2312" w:cs="仿宋_GB2312"/>
          <w:sz w:val="32"/>
          <w:szCs w:val="32"/>
          <w:lang w:eastAsia="zh-CN"/>
        </w:rPr>
        <w:t>人大和政协提案落实、</w:t>
      </w:r>
      <w:r>
        <w:rPr>
          <w:rFonts w:hint="eastAsia" w:ascii="仿宋_GB2312" w:hAnsi="仿宋_GB2312" w:eastAsia="仿宋_GB2312" w:cs="仿宋_GB2312"/>
          <w:sz w:val="32"/>
          <w:szCs w:val="32"/>
        </w:rPr>
        <w:t>乡村振兴、“五城同创”等中心工作深度融合；落实</w:t>
      </w:r>
      <w:r>
        <w:rPr>
          <w:rFonts w:hint="eastAsia" w:ascii="仿宋_GB2312" w:hAnsi="仿宋_GB2312" w:eastAsia="仿宋_GB2312" w:cs="仿宋_GB2312"/>
          <w:sz w:val="32"/>
          <w:szCs w:val="32"/>
          <w:lang w:eastAsia="zh-CN"/>
        </w:rPr>
        <w:t>党纪学习教育</w:t>
      </w:r>
      <w:r>
        <w:rPr>
          <w:rFonts w:hint="eastAsia" w:ascii="仿宋_GB2312" w:hAnsi="仿宋_GB2312" w:eastAsia="仿宋_GB2312" w:cs="仿宋_GB2312"/>
          <w:sz w:val="32"/>
          <w:szCs w:val="32"/>
        </w:rPr>
        <w:t>要求，一以贯之地遵守落实好中央八项规定，认真学习并遵守《中国共产党廉洁自律准则》和《中国共产党纪律处分条例》，自觉用党章党规党纪规范</w:t>
      </w:r>
      <w:r>
        <w:rPr>
          <w:rFonts w:hint="eastAsia" w:ascii="仿宋_GB2312" w:hAnsi="仿宋_GB2312" w:eastAsia="仿宋_GB2312" w:cs="仿宋_GB2312"/>
          <w:sz w:val="32"/>
          <w:szCs w:val="32"/>
          <w:lang w:eastAsia="zh-CN"/>
        </w:rPr>
        <w:t>自己</w:t>
      </w:r>
      <w:r>
        <w:rPr>
          <w:rFonts w:hint="eastAsia" w:ascii="仿宋_GB2312" w:hAnsi="仿宋_GB2312" w:eastAsia="仿宋_GB2312" w:cs="仿宋_GB2312"/>
          <w:sz w:val="32"/>
          <w:szCs w:val="32"/>
        </w:rPr>
        <w:t>的言行，以</w:t>
      </w:r>
      <w:r>
        <w:rPr>
          <w:rFonts w:hint="eastAsia" w:ascii="仿宋_GB2312" w:hAnsi="仿宋_GB2312" w:eastAsia="仿宋_GB2312" w:cs="仿宋_GB2312"/>
          <w:sz w:val="32"/>
          <w:szCs w:val="32"/>
          <w:lang w:eastAsia="zh-CN"/>
        </w:rPr>
        <w:t>提升干部</w:t>
      </w:r>
      <w:r>
        <w:rPr>
          <w:rFonts w:hint="eastAsia" w:ascii="仿宋_GB2312" w:hAnsi="仿宋_GB2312" w:eastAsia="仿宋_GB2312" w:cs="仿宋_GB2312"/>
          <w:sz w:val="32"/>
          <w:szCs w:val="32"/>
        </w:rPr>
        <w:t>作风能力推动石城果业高质量发展。</w:t>
      </w:r>
      <w:bookmarkStart w:id="0" w:name="_GoBack"/>
      <w:bookmarkEnd w:id="0"/>
    </w:p>
    <w:p w14:paraId="6CAB1B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，坚持一个</w:t>
      </w:r>
      <w:r>
        <w:rPr>
          <w:rFonts w:hint="eastAsia" w:ascii="楷体_GB2312" w:hAnsi="楷体_GB2312" w:eastAsia="楷体_GB2312" w:cs="楷体_GB2312"/>
          <w:b/>
          <w:bCs/>
          <w:sz w:val="32"/>
          <w:szCs w:val="32"/>
          <w:lang w:eastAsia="zh-CN"/>
        </w:rPr>
        <w:t>目标，优化结构，提升产业发展上限</w:t>
      </w:r>
    </w:p>
    <w:p w14:paraId="6FED06A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加大力度去粗存精。</w:t>
      </w:r>
      <w:r>
        <w:rPr>
          <w:rFonts w:hint="eastAsia" w:ascii="仿宋_GB2312" w:hAnsi="仿宋_GB2312" w:eastAsia="仿宋_GB2312" w:cs="仿宋_GB2312"/>
          <w:sz w:val="32"/>
          <w:szCs w:val="32"/>
        </w:rPr>
        <w:t>落实高质量发展理念，拒绝果园粗放式管理，加大失管果园清理力度，确保病树和失管果园清理到位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sz w:val="32"/>
          <w:szCs w:val="32"/>
          <w:lang w:val="en-US" w:eastAsia="zh-CN"/>
        </w:rPr>
        <w:t>对占用耕地种植脐橙的失管果园和黄龙病发病率达30%以上的果园，实行“一对一”落实责任，提高土地使用。</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优化果树品种布局。目前我县果业纵向结构较为单薄，将增加果品种类，种植黄桃、甜柿、红美人等品种果树，延长上市时间，提高生产效益。</w:t>
      </w:r>
    </w:p>
    <w:p w14:paraId="29F323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第三，坚持两项原则，提质高效，推动产业高质量发展</w:t>
      </w:r>
    </w:p>
    <w:p w14:paraId="4E12586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坚持产业安全原则，夯实产业基础。一是</w:t>
      </w:r>
      <w:r>
        <w:rPr>
          <w:rFonts w:hint="eastAsia" w:ascii="仿宋_GB2312" w:hAnsi="仿宋_GB2312" w:eastAsia="仿宋_GB2312" w:cs="仿宋_GB2312"/>
          <w:b w:val="0"/>
          <w:bCs w:val="0"/>
          <w:sz w:val="32"/>
          <w:szCs w:val="32"/>
          <w:lang w:eastAsia="zh-CN"/>
        </w:rPr>
        <w:t>压实各方责任，筑牢黄龙病绿色防线。</w:t>
      </w:r>
      <w:r>
        <w:rPr>
          <w:rFonts w:hint="eastAsia" w:ascii="仿宋_GB2312" w:hAnsi="仿宋_GB2312" w:eastAsia="仿宋_GB2312" w:cs="仿宋_GB2312"/>
          <w:sz w:val="32"/>
          <w:szCs w:val="32"/>
        </w:rPr>
        <w:t>按照“彻底清除病树，及时防除木虱、杜绝带病种苗、建立防控机制”要求开展柑橘黄龙病防控，开展统防统治防控工作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建立统防统治防控机制，</w:t>
      </w:r>
      <w:r>
        <w:rPr>
          <w:rFonts w:hint="eastAsia" w:ascii="仿宋_GB2312" w:hAnsi="仿宋_GB2312" w:eastAsia="仿宋_GB2312" w:cs="仿宋_GB2312"/>
          <w:sz w:val="32"/>
          <w:szCs w:val="32"/>
          <w:lang w:eastAsia="zh-CN"/>
        </w:rPr>
        <w:t>开展好无人机飞防防治柑橘木虱工作，</w:t>
      </w:r>
      <w:r>
        <w:rPr>
          <w:rFonts w:hint="eastAsia" w:ascii="仿宋_GB2312" w:hAnsi="仿宋_GB2312" w:eastAsia="仿宋_GB2312" w:cs="仿宋_GB2312"/>
          <w:sz w:val="32"/>
          <w:szCs w:val="32"/>
        </w:rPr>
        <w:t>将全县平均病株率控制在2%以下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引导果农树立高品质栽培理念，</w:t>
      </w:r>
      <w:r>
        <w:rPr>
          <w:rFonts w:hint="eastAsia" w:ascii="仿宋_GB2312" w:hAnsi="仿宋_GB2312" w:eastAsia="仿宋_GB2312" w:cs="仿宋_GB2312"/>
          <w:b w:val="0"/>
          <w:bCs w:val="0"/>
          <w:sz w:val="32"/>
          <w:szCs w:val="32"/>
          <w:lang w:val="en-US" w:eastAsia="zh-CN"/>
        </w:rPr>
        <w:t>采用农业防治、物理防治、生物防治、生态调控以及科学、合理、安全使用农药的技术，达到有效控制病虫害。</w:t>
      </w:r>
      <w:r>
        <w:rPr>
          <w:rFonts w:hint="eastAsia" w:ascii="仿宋_GB2312" w:hAnsi="仿宋_GB2312" w:eastAsia="仿宋_GB2312" w:cs="仿宋_GB2312"/>
          <w:sz w:val="32"/>
          <w:szCs w:val="32"/>
          <w:lang w:eastAsia="zh-CN"/>
        </w:rPr>
        <w:t>同时积极引导果农“大苗上山”，夯实柑橘黄龙病防控基础。</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持续守护果园安全，建立长效闭环机制。持续做好我县果园安全生产工作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严格落实安全生产属地责任、行业监管责任，通过多条途径、多种方式广泛开展脐橙安全生产宣传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增强果农安全意识</w:t>
      </w:r>
      <w:r>
        <w:rPr>
          <w:rFonts w:hint="eastAsia" w:ascii="仿宋_GB2312" w:hAnsi="仿宋_GB2312" w:eastAsia="仿宋_GB2312" w:cs="仿宋_GB2312"/>
          <w:sz w:val="32"/>
          <w:szCs w:val="32"/>
          <w:lang w:eastAsia="zh-CN"/>
        </w:rPr>
        <w:t>，确保我县果业生产安全可靠。</w:t>
      </w:r>
      <w:r>
        <w:rPr>
          <w:rFonts w:hint="eastAsia" w:ascii="仿宋_GB2312" w:hAnsi="仿宋_GB2312" w:eastAsia="仿宋_GB2312" w:cs="仿宋_GB2312"/>
          <w:b/>
          <w:bCs/>
          <w:sz w:val="32"/>
          <w:szCs w:val="32"/>
          <w:lang w:eastAsia="zh-CN"/>
        </w:rPr>
        <w:t>坚持高效原则，激发产业发展新动能。一是</w:t>
      </w:r>
      <w:r>
        <w:rPr>
          <w:rFonts w:hint="eastAsia" w:ascii="仿宋_GB2312" w:hAnsi="仿宋_GB2312" w:eastAsia="仿宋_GB2312" w:cs="仿宋_GB2312"/>
          <w:sz w:val="32"/>
          <w:szCs w:val="32"/>
          <w:lang w:eastAsia="zh-CN"/>
        </w:rPr>
        <w:t>驱动硬件改造提升。积极向上争取项目，通过水肥一体化、标准化生态园、“无废果园”等项目建设，推动果园水电路三通，点面辐射，提升果园抵御旱害、冻害等重大自然灾害能力。</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抓牢抓实技术培训。通过“线上+线下”、“理论+实操”，定期举办培训班及实地指导，切实提高果农果园管理水平。</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机械化引进提高效率。</w:t>
      </w:r>
      <w:r>
        <w:rPr>
          <w:rFonts w:hint="eastAsia" w:ascii="仿宋_GB2312" w:hAnsi="仿宋_GB2312" w:eastAsia="仿宋_GB2312" w:cs="仿宋_GB2312"/>
          <w:sz w:val="32"/>
          <w:szCs w:val="32"/>
          <w:lang w:eastAsia="zh-CN"/>
        </w:rPr>
        <w:t>探索引进社会服务体系，组建以采摘、修剪、无人机飞防等服务托管工作队；激励果农引进先进技术，用机械化生产替代传统农业生产模式，提高产能。</w:t>
      </w:r>
    </w:p>
    <w:p w14:paraId="109F08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bCs/>
          <w:sz w:val="32"/>
          <w:szCs w:val="32"/>
          <w:lang w:eastAsia="zh-CN"/>
        </w:rPr>
        <w:t>第四，坚持三大战略，唱响品牌，推动果业丰产高销</w:t>
      </w:r>
    </w:p>
    <w:p w14:paraId="4D7616B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坚持延链促销战略，提高果农收益、果业价值。一是</w:t>
      </w:r>
      <w:r>
        <w:rPr>
          <w:rFonts w:hint="eastAsia" w:ascii="仿宋_GB2312" w:hAnsi="仿宋_GB2312" w:eastAsia="仿宋_GB2312" w:cs="仿宋_GB2312"/>
          <w:sz w:val="32"/>
          <w:szCs w:val="32"/>
          <w:lang w:val="en-US" w:eastAsia="zh-CN"/>
        </w:rPr>
        <w:t>内培外引抓好脐橙深加工，提高附加值。服务好德都食品的发展，延长产业链条，鼓励引导德都食品在脐橙汁、脐橙皮、脐橙片等加大研发力度，实现量产。</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持续增强本土企业营销能力。鼓励引导以一品优为代表的企业深耕电商平台销售渠道，加大脐橙卡推广，力保一品优在全市电商脐橙销售排名第一。</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扩大规范线上销售。</w:t>
      </w:r>
      <w:r>
        <w:rPr>
          <w:rFonts w:hint="eastAsia" w:ascii="仿宋_GB2312" w:hAnsi="仿宋_GB2312" w:eastAsia="仿宋_GB2312" w:cs="仿宋_GB2312"/>
          <w:sz w:val="32"/>
          <w:szCs w:val="32"/>
          <w:lang w:val="en-US" w:eastAsia="zh-CN"/>
        </w:rPr>
        <w:t>指导动员果农及企业开展自媒体营销，培育一批村播网络能人。推广智能分选，实现同一包装果品品质统一，提高石城赣南脐橙品质档次。</w:t>
      </w:r>
      <w:r>
        <w:rPr>
          <w:rFonts w:hint="eastAsia" w:ascii="仿宋_GB2312" w:hAnsi="仿宋_GB2312" w:eastAsia="仿宋_GB2312" w:cs="仿宋_GB2312"/>
          <w:b/>
          <w:bCs/>
          <w:sz w:val="32"/>
          <w:szCs w:val="32"/>
          <w:lang w:val="en-US" w:eastAsia="zh-CN"/>
        </w:rPr>
        <w:t>坚持“果业+文旅”战略，唱响石城果业品牌。</w:t>
      </w:r>
      <w:r>
        <w:rPr>
          <w:rFonts w:hint="eastAsia" w:ascii="仿宋_GB2312" w:hAnsi="仿宋_GB2312" w:eastAsia="仿宋_GB2312" w:cs="仿宋_GB2312"/>
          <w:b w:val="0"/>
          <w:bCs w:val="0"/>
          <w:sz w:val="32"/>
          <w:szCs w:val="32"/>
          <w:lang w:val="en-US" w:eastAsia="zh-CN"/>
        </w:rPr>
        <w:t>举办</w:t>
      </w:r>
      <w:r>
        <w:rPr>
          <w:rFonts w:hint="default" w:ascii="仿宋_GB2312" w:hAnsi="仿宋_GB2312" w:eastAsia="仿宋_GB2312" w:cs="仿宋_GB2312"/>
          <w:b w:val="0"/>
          <w:bCs w:val="0"/>
          <w:sz w:val="32"/>
          <w:szCs w:val="32"/>
          <w:lang w:val="en-US" w:eastAsia="zh-CN"/>
        </w:rPr>
        <w:t>好</w:t>
      </w:r>
      <w:r>
        <w:rPr>
          <w:rFonts w:hint="eastAsia" w:ascii="仿宋_GB2312" w:hAnsi="仿宋_GB2312" w:eastAsia="仿宋_GB2312" w:cs="仿宋_GB2312"/>
          <w:b w:val="0"/>
          <w:bCs w:val="0"/>
          <w:sz w:val="32"/>
          <w:szCs w:val="32"/>
          <w:lang w:val="en-US" w:eastAsia="zh-CN"/>
        </w:rPr>
        <w:t>采摘赣南脐橙采摘仪式、果品评比等活动，开展好“四进一融”活动，</w:t>
      </w:r>
      <w:r>
        <w:rPr>
          <w:rFonts w:hint="eastAsia" w:ascii="仿宋_GB2312" w:hAnsi="仿宋_GB2312" w:eastAsia="仿宋_GB2312" w:cs="仿宋_GB2312"/>
          <w:sz w:val="32"/>
          <w:szCs w:val="32"/>
          <w:lang w:val="en-US" w:eastAsia="zh-CN"/>
        </w:rPr>
        <w:t>展示我县脐橙的卓越品质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拓展“果业+文旅”，</w:t>
      </w:r>
      <w:r>
        <w:rPr>
          <w:rFonts w:hint="eastAsia" w:ascii="仿宋_GB2312" w:hAnsi="仿宋_GB2312" w:eastAsia="仿宋_GB2312" w:cs="仿宋_GB2312"/>
          <w:sz w:val="32"/>
          <w:szCs w:val="32"/>
        </w:rPr>
        <w:t>开展脐橙采摘旅游营销季“微”推广活动</w:t>
      </w:r>
      <w:r>
        <w:rPr>
          <w:rFonts w:hint="eastAsia" w:ascii="仿宋_GB2312" w:hAnsi="仿宋_GB2312" w:eastAsia="仿宋_GB2312" w:cs="仿宋_GB2312"/>
          <w:sz w:val="32"/>
          <w:szCs w:val="32"/>
          <w:lang w:val="en-US" w:eastAsia="zh-CN"/>
        </w:rPr>
        <w:t>，积极融入全域旅游县建设。</w:t>
      </w:r>
      <w:r>
        <w:rPr>
          <w:rFonts w:hint="eastAsia" w:ascii="仿宋_GB2312" w:hAnsi="仿宋_GB2312" w:eastAsia="仿宋_GB2312" w:cs="仿宋_GB2312"/>
          <w:b w:val="0"/>
          <w:bCs w:val="0"/>
          <w:sz w:val="32"/>
          <w:szCs w:val="32"/>
          <w:lang w:val="en-US" w:eastAsia="zh-CN"/>
        </w:rPr>
        <w:t>唱响石城果业品牌，联合本土企业</w:t>
      </w:r>
      <w:r>
        <w:rPr>
          <w:rFonts w:hint="eastAsia" w:ascii="仿宋_GB2312" w:hAnsi="仿宋_GB2312" w:eastAsia="仿宋_GB2312" w:cs="仿宋_GB2312"/>
          <w:sz w:val="32"/>
          <w:szCs w:val="32"/>
          <w:lang w:val="en-US" w:eastAsia="zh-CN"/>
        </w:rPr>
        <w:t>进行石城本土化、品牌化包装营销，唱响“好山好水产好橙”的品牌。继续做好以水果采摘为主题的采摘线路，做精做优“橙黄橘绿·乡村胜景”全国乡村旅游精品路线。</w:t>
      </w:r>
      <w:r>
        <w:rPr>
          <w:rFonts w:hint="eastAsia" w:ascii="仿宋_GB2312" w:hAnsi="仿宋_GB2312" w:eastAsia="仿宋_GB2312" w:cs="仿宋_GB2312"/>
          <w:b/>
          <w:bCs/>
          <w:sz w:val="32"/>
          <w:szCs w:val="32"/>
          <w:lang w:val="en-US" w:eastAsia="zh-CN"/>
        </w:rPr>
        <w:t>坚持主攻城市营销战略，开展好营销推介。</w:t>
      </w:r>
      <w:r>
        <w:rPr>
          <w:rFonts w:hint="eastAsia" w:ascii="仿宋_GB2312" w:hAnsi="仿宋_GB2312" w:eastAsia="仿宋_GB2312" w:cs="仿宋_GB2312"/>
          <w:sz w:val="32"/>
          <w:szCs w:val="32"/>
          <w:lang w:val="en-US" w:eastAsia="zh-CN"/>
        </w:rPr>
        <w:t>落实好“主攻城市营销战略”，加强与各大商超合作，探索设立更多赣南脐橙旗舰店。组织更多的本地企业、合作社在当地开展农超对接、直采直销活动。联合当地媒体常态化开展好宣传报道和广告推广活动，与主攻城市热门酒店合作，提升主攻城市市场营销对接的广度和水平。</w:t>
      </w:r>
    </w:p>
    <w:p w14:paraId="16FF1E5B">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0000FF"/>
          <w:sz w:val="32"/>
          <w:szCs w:val="32"/>
          <w:lang w:val="en-US" w:eastAsia="zh-CN"/>
        </w:rPr>
      </w:pPr>
      <w:r>
        <w:rPr>
          <w:rFonts w:hint="eastAsia" w:ascii="黑体" w:hAnsi="黑体" w:eastAsia="黑体" w:cs="黑体"/>
          <w:sz w:val="32"/>
          <w:szCs w:val="32"/>
          <w:lang w:val="en-US" w:eastAsia="zh-CN"/>
        </w:rPr>
        <w:t>三、对县委、县政府工作的</w:t>
      </w:r>
      <w:r>
        <w:rPr>
          <w:rFonts w:hint="eastAsia" w:ascii="黑体" w:hAnsi="黑体" w:eastAsia="黑体" w:cs="黑体"/>
          <w:color w:val="auto"/>
          <w:sz w:val="32"/>
          <w:szCs w:val="32"/>
          <w:lang w:val="en-US" w:eastAsia="zh-CN"/>
        </w:rPr>
        <w:t>建议</w:t>
      </w:r>
    </w:p>
    <w:p w14:paraId="3E8D65F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加大脐橙产业政策扶持力度。</w:t>
      </w:r>
      <w:r>
        <w:rPr>
          <w:rFonts w:hint="eastAsia" w:ascii="仿宋_GB2312" w:hAnsi="仿宋_GB2312" w:eastAsia="仿宋_GB2312" w:cs="仿宋_GB2312"/>
          <w:sz w:val="32"/>
          <w:szCs w:val="32"/>
          <w:lang w:val="en-US" w:eastAsia="zh-CN"/>
        </w:rPr>
        <w:t>近几年以来，</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县柑橘木虱虫口数量在逐年增加，黄龙病</w:t>
      </w:r>
      <w:r>
        <w:rPr>
          <w:rFonts w:hint="eastAsia" w:ascii="仿宋_GB2312" w:hAnsi="仿宋_GB2312" w:eastAsia="仿宋_GB2312" w:cs="仿宋_GB2312"/>
          <w:sz w:val="32"/>
          <w:szCs w:val="32"/>
          <w:lang w:eastAsia="zh-CN"/>
        </w:rPr>
        <w:t>病树逐年</w:t>
      </w:r>
      <w:r>
        <w:rPr>
          <w:rFonts w:hint="eastAsia" w:ascii="仿宋_GB2312" w:hAnsi="仿宋_GB2312" w:eastAsia="仿宋_GB2312" w:cs="仿宋_GB2312"/>
          <w:sz w:val="32"/>
          <w:szCs w:val="32"/>
        </w:rPr>
        <w:t>增多，发病率</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在上升</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周边</w:t>
      </w:r>
      <w:r>
        <w:rPr>
          <w:rFonts w:hint="eastAsia" w:ascii="仿宋_GB2312" w:hAnsi="仿宋_GB2312" w:eastAsia="仿宋_GB2312" w:cs="仿宋_GB2312"/>
          <w:sz w:val="32"/>
          <w:szCs w:val="32"/>
          <w:lang w:eastAsia="zh-CN"/>
        </w:rPr>
        <w:t>县（市）</w:t>
      </w:r>
      <w:r>
        <w:rPr>
          <w:rFonts w:hint="eastAsia" w:ascii="仿宋_GB2312" w:hAnsi="仿宋_GB2312" w:eastAsia="仿宋_GB2312" w:cs="仿宋_GB2312"/>
          <w:sz w:val="32"/>
          <w:szCs w:val="32"/>
        </w:rPr>
        <w:t>柑橘产区黄龙病扩散蔓延</w:t>
      </w:r>
      <w:r>
        <w:rPr>
          <w:rFonts w:hint="eastAsia" w:ascii="仿宋_GB2312" w:hAnsi="仿宋_GB2312" w:eastAsia="仿宋_GB2312" w:cs="仿宋_GB2312"/>
          <w:sz w:val="32"/>
          <w:szCs w:val="32"/>
          <w:lang w:eastAsia="zh-CN"/>
        </w:rPr>
        <w:t>加快</w:t>
      </w:r>
      <w:r>
        <w:rPr>
          <w:rFonts w:hint="eastAsia" w:ascii="仿宋_GB2312" w:hAnsi="仿宋_GB2312" w:eastAsia="仿宋_GB2312" w:cs="仿宋_GB2312"/>
          <w:sz w:val="32"/>
          <w:szCs w:val="32"/>
        </w:rPr>
        <w:t>、危害加重，极可能出现新一轮大爆发</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柑橘产业</w:t>
      </w:r>
      <w:r>
        <w:rPr>
          <w:rFonts w:hint="eastAsia" w:ascii="仿宋_GB2312" w:hAnsi="仿宋_GB2312" w:eastAsia="仿宋_GB2312" w:cs="仿宋_GB2312"/>
          <w:sz w:val="32"/>
          <w:szCs w:val="32"/>
          <w:lang w:eastAsia="zh-CN"/>
        </w:rPr>
        <w:t>将受到</w:t>
      </w:r>
      <w:r>
        <w:rPr>
          <w:rFonts w:hint="eastAsia" w:ascii="仿宋_GB2312" w:hAnsi="仿宋_GB2312" w:eastAsia="仿宋_GB2312" w:cs="仿宋_GB2312"/>
          <w:sz w:val="32"/>
          <w:szCs w:val="32"/>
        </w:rPr>
        <w:t>巨大威胁。</w:t>
      </w:r>
      <w:r>
        <w:rPr>
          <w:rFonts w:hint="eastAsia" w:ascii="仿宋_GB2312" w:hAnsi="仿宋_GB2312" w:eastAsia="仿宋_GB2312" w:cs="仿宋_GB2312"/>
          <w:sz w:val="32"/>
          <w:szCs w:val="32"/>
          <w:lang w:eastAsia="zh-CN"/>
        </w:rPr>
        <w:t>建议县委、县政府加大黄龙病防控力度，在人力、物力、财力方面给予更大支持。</w:t>
      </w:r>
    </w:p>
    <w:p w14:paraId="0C6AB709">
      <w:pPr>
        <w:pStyle w:val="6"/>
        <w:rPr>
          <w:rFonts w:hint="eastAsia" w:ascii="仿宋_GB2312" w:hAnsi="仿宋_GB2312" w:eastAsia="仿宋_GB2312" w:cs="仿宋_GB2312"/>
          <w:sz w:val="32"/>
          <w:szCs w:val="32"/>
          <w:lang w:eastAsia="zh-CN"/>
        </w:rPr>
      </w:pPr>
    </w:p>
    <w:p w14:paraId="6EB1DDA7">
      <w:pPr>
        <w:ind w:firstLine="4480" w:firstLineChars="14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石城县果茶发展服务中心</w:t>
      </w:r>
    </w:p>
    <w:p w14:paraId="0C50FA60">
      <w:pPr>
        <w:ind w:firstLine="4800" w:firstLineChars="15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2024年12月10日</w:t>
      </w:r>
    </w:p>
    <w:p w14:paraId="726359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F48FB1-3A0E-4163-B5B8-57BB9FE89E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A86892F1-6CAC-4AC0-8D21-D1C177BF1B0B}"/>
  </w:font>
  <w:font w:name="方正小标宋简体">
    <w:panose1 w:val="03000509000000000000"/>
    <w:charset w:val="86"/>
    <w:family w:val="auto"/>
    <w:pitch w:val="default"/>
    <w:sig w:usb0="00000001" w:usb1="080E0000" w:usb2="00000000" w:usb3="00000000" w:csb0="00040000" w:csb1="00000000"/>
    <w:embedRegular r:id="rId3" w:fontKey="{706A98B0-4251-4396-9FC6-3124462F973C}"/>
  </w:font>
  <w:font w:name="楷体_GB2312">
    <w:panose1 w:val="02010609030101010101"/>
    <w:charset w:val="86"/>
    <w:family w:val="modern"/>
    <w:pitch w:val="default"/>
    <w:sig w:usb0="00000001" w:usb1="080E0000" w:usb2="00000000" w:usb3="00000000" w:csb0="00040000" w:csb1="00000000"/>
    <w:embedRegular r:id="rId4" w:fontKey="{9AF21869-73F4-4FE3-A48C-734C4C71E3AA}"/>
  </w:font>
  <w:font w:name="楷体">
    <w:panose1 w:val="02010609060101010101"/>
    <w:charset w:val="86"/>
    <w:family w:val="auto"/>
    <w:pitch w:val="default"/>
    <w:sig w:usb0="800002BF" w:usb1="38CF7CFA" w:usb2="00000016" w:usb3="00000000" w:csb0="00040001" w:csb1="00000000"/>
    <w:embedRegular r:id="rId5" w:fontKey="{08BCAFC5-9F13-4FBF-9CB3-1E44795A686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ZWFlZjRhMjZmODdiYmViMTg3NTg0M2YwYTIzMDAifQ=="/>
  </w:docVars>
  <w:rsids>
    <w:rsidRoot w:val="659329C1"/>
    <w:rsid w:val="07FB307F"/>
    <w:rsid w:val="0A620BDD"/>
    <w:rsid w:val="0AAC4A55"/>
    <w:rsid w:val="0B943733"/>
    <w:rsid w:val="0E8D727D"/>
    <w:rsid w:val="10CE0F10"/>
    <w:rsid w:val="1326526B"/>
    <w:rsid w:val="13F466E6"/>
    <w:rsid w:val="16D421DC"/>
    <w:rsid w:val="1A9C5527"/>
    <w:rsid w:val="1AA91F31"/>
    <w:rsid w:val="1AFB1F85"/>
    <w:rsid w:val="1B450903"/>
    <w:rsid w:val="1DA13CEA"/>
    <w:rsid w:val="23151360"/>
    <w:rsid w:val="25D80ADD"/>
    <w:rsid w:val="27762738"/>
    <w:rsid w:val="28F42610"/>
    <w:rsid w:val="2A5E08B3"/>
    <w:rsid w:val="2B8D5906"/>
    <w:rsid w:val="2D412A2F"/>
    <w:rsid w:val="30375019"/>
    <w:rsid w:val="30E4117F"/>
    <w:rsid w:val="311F12DD"/>
    <w:rsid w:val="33223567"/>
    <w:rsid w:val="33974C24"/>
    <w:rsid w:val="383B1FF5"/>
    <w:rsid w:val="388C0E59"/>
    <w:rsid w:val="3B056D15"/>
    <w:rsid w:val="3C8C3269"/>
    <w:rsid w:val="3D3E7CBB"/>
    <w:rsid w:val="3D475A69"/>
    <w:rsid w:val="41BB3B6F"/>
    <w:rsid w:val="42ED2FE9"/>
    <w:rsid w:val="44FA07C2"/>
    <w:rsid w:val="46752F28"/>
    <w:rsid w:val="47195E3E"/>
    <w:rsid w:val="474B4782"/>
    <w:rsid w:val="4977185E"/>
    <w:rsid w:val="4BDD519F"/>
    <w:rsid w:val="527F1783"/>
    <w:rsid w:val="54657314"/>
    <w:rsid w:val="555667CB"/>
    <w:rsid w:val="591C5E0B"/>
    <w:rsid w:val="5A3D5314"/>
    <w:rsid w:val="60B1344C"/>
    <w:rsid w:val="63C009DE"/>
    <w:rsid w:val="65506641"/>
    <w:rsid w:val="659329C1"/>
    <w:rsid w:val="6ACF2E50"/>
    <w:rsid w:val="6F415726"/>
    <w:rsid w:val="7A195F90"/>
    <w:rsid w:val="7B3D50DF"/>
    <w:rsid w:val="7C936277"/>
    <w:rsid w:val="7CBB152F"/>
    <w:rsid w:val="7D58415F"/>
    <w:rsid w:val="7E3A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character" w:styleId="5">
    <w:name w:val="Strong"/>
    <w:basedOn w:val="4"/>
    <w:qFormat/>
    <w:uiPriority w:val="0"/>
    <w:rPr>
      <w:b/>
    </w:rPr>
  </w:style>
  <w:style w:type="paragraph" w:customStyle="1" w:styleId="6">
    <w:name w:val="Heading2"/>
    <w:basedOn w:val="1"/>
    <w:next w:val="1"/>
    <w:qFormat/>
    <w:uiPriority w:val="0"/>
    <w:pPr>
      <w:spacing w:beforeAutospacing="1" w:afterAutospacing="1" w:line="560" w:lineRule="exact"/>
      <w:jc w:val="left"/>
      <w:textAlignment w:val="baseline"/>
    </w:pPr>
    <w:rPr>
      <w:rFonts w:ascii="宋体" w:hAnsi="宋体"/>
      <w:b/>
      <w:kern w:val="0"/>
      <w:sz w:val="36"/>
      <w:szCs w:val="36"/>
    </w:rPr>
  </w:style>
  <w:style w:type="paragraph" w:customStyle="1" w:styleId="7">
    <w:name w:val="Normal Indent1"/>
    <w:basedOn w:val="1"/>
    <w:qFormat/>
    <w:uiPriority w:val="0"/>
    <w:rPr>
      <w:rFonts w:ascii="Calibri" w:hAnsi="Calibri"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4991</Words>
  <Characters>5103</Characters>
  <Lines>0</Lines>
  <Paragraphs>0</Paragraphs>
  <TotalTime>16</TotalTime>
  <ScaleCrop>false</ScaleCrop>
  <LinksUpToDate>false</LinksUpToDate>
  <CharactersWithSpaces>5104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2024-11-17T06:12:00Z</dcterms:created>
  <dc:creator>安河桥北</dc:creator>
  <cp:lastModifiedBy>Mr丶Ying</cp:lastModifiedBy>
  <dcterms:modified xsi:type="dcterms:W3CDTF">2024-12-17T02:22:01Z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127123F90EB24160A499B4CE7A24DDF2_13</vt:lpwstr>
  </property>
</Properties>
</file>