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0A09A2">
      <w:pPr>
        <w:spacing w:line="520" w:lineRule="exact"/>
        <w:rPr>
          <w:sz w:val="32"/>
        </w:rPr>
      </w:pPr>
    </w:p>
    <w:p w14:paraId="24B17D53">
      <w:pPr>
        <w:spacing w:line="520" w:lineRule="exact"/>
        <w:rPr>
          <w:sz w:val="32"/>
        </w:rPr>
      </w:pPr>
    </w:p>
    <w:p w14:paraId="73FE218B">
      <w:pPr>
        <w:spacing w:line="520" w:lineRule="exact"/>
        <w:rPr>
          <w:sz w:val="32"/>
        </w:rPr>
      </w:pPr>
    </w:p>
    <w:p w14:paraId="2380E0EC">
      <w:pPr>
        <w:spacing w:line="520" w:lineRule="exact"/>
        <w:rPr>
          <w:sz w:val="32"/>
        </w:rPr>
      </w:pPr>
    </w:p>
    <w:p w14:paraId="03B7D0B2">
      <w:pPr>
        <w:spacing w:line="520" w:lineRule="exact"/>
        <w:rPr>
          <w:rFonts w:hint="eastAsia"/>
          <w:sz w:val="18"/>
          <w:szCs w:val="18"/>
        </w:rPr>
      </w:pPr>
    </w:p>
    <w:p w14:paraId="4EE49BC7">
      <w:pPr>
        <w:spacing w:line="520" w:lineRule="exact"/>
        <w:rPr>
          <w:rFonts w:hint="eastAsia"/>
          <w:sz w:val="18"/>
          <w:szCs w:val="18"/>
        </w:rPr>
      </w:pPr>
    </w:p>
    <w:p w14:paraId="44A6E50D">
      <w:pPr>
        <w:spacing w:line="520" w:lineRule="exact"/>
        <w:rPr>
          <w:rFonts w:hint="eastAsia"/>
          <w:sz w:val="18"/>
          <w:szCs w:val="18"/>
        </w:rPr>
      </w:pPr>
    </w:p>
    <w:p w14:paraId="7B3DFC07">
      <w:pPr>
        <w:spacing w:line="520" w:lineRule="exact"/>
        <w:rPr>
          <w:rFonts w:hint="eastAsia"/>
          <w:sz w:val="18"/>
          <w:szCs w:val="18"/>
        </w:rPr>
      </w:pPr>
    </w:p>
    <w:p w14:paraId="4BA1F1C0">
      <w:pPr>
        <w:spacing w:line="520" w:lineRule="exact"/>
        <w:ind w:firstLine="480" w:firstLineChars="150"/>
        <w:jc w:val="both"/>
        <w:rPr>
          <w:rFonts w:hint="eastAsia" w:ascii="仿宋_GB2312" w:eastAsia="仿宋_GB2312"/>
          <w:sz w:val="32"/>
          <w:szCs w:val="32"/>
        </w:rPr>
      </w:pPr>
      <w:r>
        <w:rPr>
          <w:rFonts w:hint="eastAsia" w:ascii="仿宋_GB2312" w:eastAsia="仿宋_GB2312"/>
          <w:sz w:val="32"/>
          <w:szCs w:val="32"/>
          <w:lang w:eastAsia="zh-CN"/>
        </w:rPr>
        <w:t>签发人：陈丽珺</w:t>
      </w:r>
      <w:r>
        <w:rPr>
          <w:rFonts w:hint="eastAsia" w:ascii="仿宋_GB2312" w:eastAsia="仿宋_GB2312"/>
          <w:sz w:val="32"/>
          <w:szCs w:val="32"/>
          <w:lang w:val="en-US" w:eastAsia="zh-CN"/>
        </w:rPr>
        <w:t xml:space="preserve">                 </w:t>
      </w:r>
      <w:r>
        <w:rPr>
          <w:rFonts w:hint="eastAsia" w:ascii="仿宋_GB2312" w:eastAsia="仿宋_GB2312"/>
          <w:sz w:val="32"/>
          <w:szCs w:val="32"/>
        </w:rPr>
        <w:t>石果</w:t>
      </w:r>
      <w:r>
        <w:rPr>
          <w:rFonts w:hint="eastAsia" w:ascii="仿宋_GB2312" w:eastAsia="仿宋_GB2312"/>
          <w:sz w:val="32"/>
          <w:szCs w:val="32"/>
          <w:lang w:eastAsia="zh-CN"/>
        </w:rPr>
        <w:t>提字</w:t>
      </w:r>
      <w:r>
        <w:rPr>
          <w:rFonts w:hint="eastAsia" w:ascii="仿宋_GB2312" w:eastAsia="仿宋_GB2312"/>
          <w:sz w:val="32"/>
          <w:szCs w:val="32"/>
        </w:rPr>
        <w:t>〔20</w:t>
      </w:r>
      <w:r>
        <w:rPr>
          <w:rFonts w:hint="eastAsia" w:ascii="仿宋_GB2312" w:eastAsia="仿宋_GB2312"/>
          <w:sz w:val="32"/>
          <w:szCs w:val="32"/>
          <w:lang w:val="en-US" w:eastAsia="zh-CN"/>
        </w:rPr>
        <w:t>24</w:t>
      </w:r>
      <w:r>
        <w:rPr>
          <w:rFonts w:hint="eastAsia" w:ascii="仿宋_GB2312" w:eastAsia="仿宋_GB2312"/>
          <w:sz w:val="32"/>
          <w:szCs w:val="32"/>
        </w:rPr>
        <w:t>〕</w:t>
      </w:r>
      <w:r>
        <w:rPr>
          <w:rFonts w:hint="eastAsia" w:ascii="仿宋_GB2312" w:eastAsia="仿宋_GB2312"/>
          <w:sz w:val="32"/>
          <w:szCs w:val="32"/>
          <w:lang w:val="en-US" w:eastAsia="zh-CN"/>
        </w:rPr>
        <w:t>3</w:t>
      </w:r>
      <w:r>
        <w:rPr>
          <w:rFonts w:hint="eastAsia" w:ascii="仿宋_GB2312" w:eastAsia="仿宋_GB2312"/>
          <w:sz w:val="32"/>
          <w:szCs w:val="32"/>
        </w:rPr>
        <w:t>号</w:t>
      </w:r>
    </w:p>
    <w:p w14:paraId="2492EED2">
      <w:pPr>
        <w:keepNext w:val="0"/>
        <w:keepLines w:val="0"/>
        <w:pageBreakBefore w:val="0"/>
        <w:widowControl/>
        <w:kinsoku/>
        <w:wordWrap/>
        <w:overflowPunct/>
        <w:topLinePunct w:val="0"/>
        <w:autoSpaceDE/>
        <w:autoSpaceDN/>
        <w:bidi w:val="0"/>
        <w:adjustRightInd/>
        <w:snapToGrid/>
        <w:spacing w:line="660" w:lineRule="exact"/>
        <w:ind w:firstLine="480" w:firstLineChars="150"/>
        <w:jc w:val="center"/>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分类：</w:t>
      </w:r>
      <w:r>
        <w:rPr>
          <w:rFonts w:hint="eastAsia" w:ascii="仿宋_GB2312" w:eastAsia="仿宋_GB2312"/>
          <w:sz w:val="32"/>
          <w:szCs w:val="32"/>
          <w:lang w:val="en-US" w:eastAsia="zh-CN"/>
        </w:rPr>
        <w:t>A2</w:t>
      </w:r>
    </w:p>
    <w:p w14:paraId="623EE338">
      <w:pPr>
        <w:keepNext w:val="0"/>
        <w:keepLines w:val="0"/>
        <w:pageBreakBefore w:val="0"/>
        <w:widowControl/>
        <w:kinsoku/>
        <w:wordWrap/>
        <w:overflowPunct/>
        <w:topLinePunct w:val="0"/>
        <w:autoSpaceDE/>
        <w:autoSpaceDN/>
        <w:bidi w:val="0"/>
        <w:adjustRightInd/>
        <w:snapToGrid/>
        <w:spacing w:line="700" w:lineRule="exact"/>
        <w:textAlignment w:val="auto"/>
        <w:rPr>
          <w:rFonts w:hint="eastAsia"/>
          <w:sz w:val="18"/>
          <w:szCs w:val="18"/>
        </w:rPr>
      </w:pPr>
    </w:p>
    <w:p w14:paraId="2B22B21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pacing w:val="9"/>
          <w:sz w:val="44"/>
          <w:szCs w:val="44"/>
        </w:rPr>
        <w:t>关于</w:t>
      </w:r>
      <w:r>
        <w:rPr>
          <w:rFonts w:hint="eastAsia" w:ascii="方正小标宋简体" w:hAnsi="方正小标宋简体" w:cs="方正小标宋简体"/>
          <w:spacing w:val="9"/>
          <w:sz w:val="44"/>
          <w:szCs w:val="44"/>
          <w:lang w:val="en-US" w:eastAsia="zh-CN"/>
        </w:rPr>
        <w:t>石城</w:t>
      </w:r>
      <w:r>
        <w:rPr>
          <w:rFonts w:ascii="方正小标宋简体" w:hAnsi="方正小标宋简体" w:eastAsia="方正小标宋简体" w:cs="方正小标宋简体"/>
          <w:spacing w:val="9"/>
          <w:sz w:val="44"/>
          <w:szCs w:val="44"/>
        </w:rPr>
        <w:t>县十九届人大五次会议</w:t>
      </w:r>
    </w:p>
    <w:p w14:paraId="10E2D90C">
      <w:pPr>
        <w:keepNext w:val="0"/>
        <w:keepLines w:val="0"/>
        <w:pageBreakBefore w:val="0"/>
        <w:widowControl w:val="0"/>
        <w:kinsoku w:val="0"/>
        <w:wordWrap/>
        <w:overflowPunct/>
        <w:topLinePunct w:val="0"/>
        <w:autoSpaceDE w:val="0"/>
        <w:autoSpaceDN w:val="0"/>
        <w:bidi w:val="0"/>
        <w:adjustRightInd w:val="0"/>
        <w:snapToGrid w:val="0"/>
        <w:spacing w:line="560" w:lineRule="exact"/>
        <w:ind w:right="0"/>
        <w:jc w:val="center"/>
        <w:textAlignment w:val="baseline"/>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w:t>
      </w:r>
      <w:r>
        <w:rPr>
          <w:rFonts w:hint="eastAsia" w:ascii="方正小标宋简体" w:hAnsi="方正小标宋简体" w:cs="方正小标宋简体"/>
          <w:sz w:val="44"/>
          <w:szCs w:val="44"/>
          <w:lang w:val="en-US" w:eastAsia="zh-CN"/>
        </w:rPr>
        <w:t>70</w:t>
      </w:r>
      <w:r>
        <w:rPr>
          <w:rFonts w:hint="eastAsia" w:ascii="方正小标宋简体" w:hAnsi="方正小标宋简体" w:eastAsia="方正小标宋简体" w:cs="方正小标宋简体"/>
          <w:sz w:val="44"/>
          <w:szCs w:val="44"/>
        </w:rPr>
        <w:t>号</w:t>
      </w:r>
      <w:r>
        <w:rPr>
          <w:rFonts w:hint="eastAsia" w:ascii="方正小标宋简体" w:hAnsi="方正小标宋简体" w:cs="方正小标宋简体"/>
          <w:sz w:val="44"/>
          <w:szCs w:val="44"/>
          <w:lang w:eastAsia="zh-CN"/>
        </w:rPr>
        <w:t>建议</w:t>
      </w:r>
      <w:r>
        <w:rPr>
          <w:rFonts w:ascii="方正小标宋简体" w:hAnsi="方正小标宋简体" w:eastAsia="方正小标宋简体" w:cs="方正小标宋简体"/>
          <w:spacing w:val="6"/>
          <w:sz w:val="44"/>
          <w:szCs w:val="44"/>
        </w:rPr>
        <w:t>的答复</w:t>
      </w:r>
    </w:p>
    <w:p w14:paraId="1BDEC224">
      <w:pPr>
        <w:keepNext w:val="0"/>
        <w:keepLines w:val="0"/>
        <w:pageBreakBefore w:val="0"/>
        <w:wordWrap/>
        <w:overflowPunct/>
        <w:topLinePunct w:val="0"/>
        <w:bidi w:val="0"/>
        <w:spacing w:line="560" w:lineRule="exact"/>
        <w:rPr>
          <w:rFonts w:ascii="Arial"/>
          <w:sz w:val="21"/>
        </w:rPr>
      </w:pPr>
    </w:p>
    <w:p w14:paraId="1E0FCC3C">
      <w:pPr>
        <w:keepNext w:val="0"/>
        <w:keepLines w:val="0"/>
        <w:pageBreakBefore w:val="0"/>
        <w:widowControl w:val="0"/>
        <w:kinsoku/>
        <w:wordWrap/>
        <w:overflowPunct/>
        <w:topLinePunct w:val="0"/>
        <w:autoSpaceDE/>
        <w:autoSpaceDN/>
        <w:bidi w:val="0"/>
        <w:adjustRightInd/>
        <w:snapToGrid/>
        <w:spacing w:beforeAutospacing="0" w:afterAutospacing="0" w:line="54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张文汇、赖湖北、邓东梅代表：</w:t>
      </w:r>
    </w:p>
    <w:p w14:paraId="7D7E95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您提出的《关于出台黄桃等特色产业邮资奖补政策的建议》我中心已经收悉，感谢您对我县果业工作的关心和支持。我中心高度重视您提出的建议，接到建议任务后，我中心召开专题会议研究部署建议答复工作，指定专人负责，多次实地调研、走访快递、物流公司、召开座谈会、征询相关单位意见，现给予答复如下：</w:t>
      </w:r>
    </w:p>
    <w:p w14:paraId="02DB6CE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一、代表所提的建议</w:t>
      </w:r>
    </w:p>
    <w:p w14:paraId="7D991B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自从最初的2017年从湖南株洲炎陵引进锦绣黄桃优良品种，先后经过6年扩种，到目前为止，赣江源镇全镇黄桃种植面积达820亩，其中投产面积700亩，主要集中分布在桃花、石溪、赣江源、友联等村。在辐射带动下，横江、珠坑、小松等地也开始种植。2023年，赣江源镇全镇黄桃总产量65.5万斤，总产值720.5万元。赣江源黄桃的形成和发展，已成为“产品特色鲜明、区域竞争优势明显、品牌效应突出、经济效益领先”的特色精品农业产业。然而，由于黄桃产品生产成本高，保质期相对较短，线上销售单价较低，农产品上行的快满物流成本较高，导致黄桃产业持续发展壮大面临因境，严重影响本地企业转型开展线上销值及社会（农村）青年开展电商创业就业的积极性。以2023年为例，桃花村邮寄到赣州内11.5元一箱10斤，省外15元一箱10斤，即省内1.15元一斤，省外1.5元二斤，成本远高于脐橙的邮寄成本。</w:t>
      </w:r>
    </w:p>
    <w:p w14:paraId="0760F2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通过对本地农村农产品上行进行快递物流补贴，可以进一步减轻快递和企业运营成本，激发本地企业和广大社会（农村〕青年开展线上销售的积极性，对扩大赣江源镇黄桃产业或本地农特产品的影响力，推动黄桃或本地农特产品线上销售和助力乡村振兴具有极其重要的意义。因此，建议县商务局等部门牵头，研究制定针对黄桃等特色农产品的邮费奖补政策，促进特色农产品上行。</w:t>
      </w:r>
    </w:p>
    <w:p w14:paraId="2D879DB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二、建议办理情况</w:t>
      </w:r>
    </w:p>
    <w:p w14:paraId="019730B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目前农产品邮费奖补政策实施情况。</w:t>
      </w:r>
      <w:r>
        <w:rPr>
          <w:rFonts w:hint="eastAsia" w:ascii="仿宋_GB2312" w:hAnsi="仿宋_GB2312" w:eastAsia="仿宋_GB2312" w:cs="仿宋_GB2312"/>
          <w:b w:val="0"/>
          <w:bCs w:val="0"/>
          <w:sz w:val="32"/>
          <w:szCs w:val="32"/>
          <w:lang w:val="en-US" w:eastAsia="zh-CN"/>
        </w:rPr>
        <w:t>针对黄桃等特色农产品的邮费奖补政策，</w:t>
      </w:r>
      <w:r>
        <w:rPr>
          <w:rFonts w:hint="eastAsia" w:ascii="仿宋_GB2312" w:hAnsi="仿宋_GB2312" w:eastAsia="仿宋_GB2312" w:cs="仿宋_GB2312"/>
          <w:sz w:val="32"/>
          <w:szCs w:val="32"/>
          <w:lang w:val="en-US" w:eastAsia="zh-CN"/>
        </w:rPr>
        <w:t>我中心的领导高度重视，中心主要负责人先后到赣江源镇桃花村黄桃基地现场沟通对接，到吉品优农业发展有限公司、江西德都食品科技有限公司、顺丰快递和县各乡镇果园等开展实地调研。</w:t>
      </w:r>
    </w:p>
    <w:p w14:paraId="1DED468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到各乡镇果园等开展实地调研统计，我县黄桃已有8年栽培历史，从最初的2015年从湖南株洲炎陵引进锦绣黄桃优良品种，黄桃种植面积达近1000亩，年产量约170万斤，亩产1700斤，主要集中分布在赣江源镇、琴江镇、小松镇、珠坑乡、高田镇等乡镇，黄桃产业逐步壮大，也是我县重要农业特色产业。因黄桃产量不大，2023年通过邮寄的黄桃为30万斤左右，涉及量不大、户数不多。</w:t>
      </w:r>
    </w:p>
    <w:p w14:paraId="6B2E5ECE">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针对代表所提建议意见，我中心办理情况汇报如下：</w:t>
      </w:r>
    </w:p>
    <w:p w14:paraId="0BC35A9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3"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1.了解掌握当前果业邮补政策情况。</w:t>
      </w:r>
      <w:r>
        <w:rPr>
          <w:rFonts w:hint="eastAsia" w:ascii="仿宋_GB2312" w:hAnsi="仿宋_GB2312" w:eastAsia="仿宋_GB2312" w:cs="仿宋_GB2312"/>
          <w:b w:val="0"/>
          <w:bCs w:val="0"/>
          <w:sz w:val="32"/>
          <w:szCs w:val="32"/>
          <w:lang w:val="en-US" w:eastAsia="zh-CN"/>
        </w:rPr>
        <w:t>经征询县商务局、县交通运输局意见，我县暂未出台相关农产品的邮费奖补政策。如赣南脐橙的邮费政策，为各快递公司内部采取的特色农产品邮费补助，而且赣南脐橙运输方式为3-5天普通快递。黄桃因保险实效短、运输保存不易，需用顺丰、京东次日达运输方式，此方式邮寄赣南脐橙、黄桃等农产品价格一致。</w:t>
      </w:r>
    </w:p>
    <w:p w14:paraId="78593BE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2.沟通协调物流企业降低邮费。</w:t>
      </w:r>
      <w:r>
        <w:rPr>
          <w:rFonts w:hint="eastAsia" w:ascii="仿宋_GB2312" w:hAnsi="仿宋_GB2312" w:eastAsia="仿宋_GB2312" w:cs="仿宋_GB2312"/>
          <w:b w:val="0"/>
          <w:bCs w:val="0"/>
          <w:sz w:val="32"/>
          <w:szCs w:val="32"/>
          <w:lang w:val="en-US" w:eastAsia="zh-CN"/>
        </w:rPr>
        <w:t>针对“农产品上行的快满物流成本较高，导致黄桃产业持续发展壮大面临因境</w:t>
      </w:r>
      <w:r>
        <w:rPr>
          <w:rFonts w:hint="eastAsia" w:ascii="黑体" w:hAnsi="黑体" w:eastAsia="黑体" w:cs="黑体"/>
          <w:sz w:val="32"/>
          <w:szCs w:val="32"/>
          <w:lang w:val="en-US" w:eastAsia="zh-CN"/>
        </w:rPr>
        <w:t>”</w:t>
      </w:r>
      <w:r>
        <w:rPr>
          <w:rFonts w:hint="eastAsia" w:ascii="仿宋_GB2312" w:hAnsi="仿宋_GB2312" w:eastAsia="仿宋_GB2312" w:cs="仿宋_GB2312"/>
          <w:sz w:val="32"/>
          <w:szCs w:val="32"/>
          <w:lang w:val="en-US" w:eastAsia="zh-CN"/>
        </w:rPr>
        <w:t>的问题，我中心同顺丰等快递公司面对面沟通，联合当地果农组建的专业合作社与顺丰公司签订协议，同意降低邮资费用，九省邮资10斤装从15元每箱，调整为11元每箱，同时方便小散户果农邮寄。</w:t>
      </w:r>
    </w:p>
    <w:p w14:paraId="786F228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3.组建专业合作社、抱团发展。</w:t>
      </w:r>
      <w:r>
        <w:rPr>
          <w:rFonts w:hint="eastAsia" w:ascii="仿宋_GB2312" w:hAnsi="仿宋_GB2312" w:eastAsia="仿宋_GB2312" w:cs="仿宋_GB2312"/>
          <w:sz w:val="32"/>
          <w:szCs w:val="32"/>
          <w:lang w:eastAsia="zh-CN"/>
        </w:rPr>
        <w:t>引导赣江源黄桃种植户抱团发展，建议由赣江源镇人民政府牵头成立黄桃种植协会或联合社，进行自我管理和约束，维护黄桃产业良好的生产经营秩序、加强交流合作，打造联合体携手共同发展。</w:t>
      </w:r>
    </w:p>
    <w:p w14:paraId="5EC035ED">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4.部门联动政策支持。</w:t>
      </w:r>
      <w:r>
        <w:rPr>
          <w:rFonts w:hint="eastAsia" w:ascii="仿宋_GB2312" w:hAnsi="仿宋_GB2312" w:eastAsia="仿宋_GB2312" w:cs="仿宋_GB2312"/>
          <w:sz w:val="32"/>
          <w:szCs w:val="32"/>
          <w:lang w:val="en-US" w:eastAsia="zh-CN"/>
        </w:rPr>
        <w:t>我中心与县农业农村局、县财政局、县商务局、各乡镇继续沟通协调，</w:t>
      </w:r>
      <w:r>
        <w:rPr>
          <w:rFonts w:hint="eastAsia" w:ascii="仿宋_GB2312" w:hAnsi="仿宋_GB2312" w:eastAsia="仿宋_GB2312" w:cs="仿宋_GB2312"/>
          <w:b w:val="0"/>
          <w:bCs w:val="0"/>
          <w:sz w:val="32"/>
          <w:szCs w:val="32"/>
          <w:lang w:val="en-US" w:eastAsia="zh-CN"/>
        </w:rPr>
        <w:t>持续跟进争取对本地特色农产品争取快递物流、仓储等补贴</w:t>
      </w:r>
      <w:r>
        <w:rPr>
          <w:rFonts w:hint="eastAsia" w:ascii="仿宋_GB2312" w:hAnsi="仿宋_GB2312" w:eastAsia="仿宋_GB2312" w:cs="仿宋_GB2312"/>
          <w:sz w:val="32"/>
          <w:szCs w:val="32"/>
          <w:lang w:val="en-US" w:eastAsia="zh-CN"/>
        </w:rPr>
        <w:t>。</w:t>
      </w:r>
    </w:p>
    <w:p w14:paraId="512F8E4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5.助力拓宽销售渠道。</w:t>
      </w:r>
      <w:r>
        <w:rPr>
          <w:rFonts w:hint="eastAsia" w:ascii="仿宋_GB2312" w:hAnsi="仿宋_GB2312" w:eastAsia="仿宋_GB2312" w:cs="仿宋_GB2312"/>
          <w:sz w:val="32"/>
          <w:szCs w:val="32"/>
          <w:lang w:val="en-US" w:eastAsia="zh-CN"/>
        </w:rPr>
        <w:t>在各媒体发布的我县第二季水果采摘路线推荐中，重点推荐赣江源黄桃采摘路线；与德都食品、一品优果业等企业，就黄桃深加工、网络平台销售等方式进行探讨，因黄桃年产量较少暂未达成合作。</w:t>
      </w:r>
    </w:p>
    <w:p w14:paraId="0EAAE6C3">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6.加强技术服务保障。</w:t>
      </w:r>
      <w:r>
        <w:rPr>
          <w:rFonts w:hint="eastAsia" w:ascii="仿宋_GB2312" w:hAnsi="仿宋_GB2312" w:eastAsia="仿宋_GB2312" w:cs="仿宋_GB2312"/>
          <w:sz w:val="32"/>
          <w:szCs w:val="32"/>
          <w:lang w:val="en-US" w:eastAsia="zh-CN"/>
        </w:rPr>
        <w:t>中心组织专业技术人员到赣江源镇黄桃果园进行技术指导，针对病虫害防控、修建、用肥用药等方面，与果农面对面交流，提升黄桃果品质量，力促高质量绿色栽培。</w:t>
      </w:r>
    </w:p>
    <w:p w14:paraId="4BEC12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三、下一步打算</w:t>
      </w:r>
    </w:p>
    <w:p w14:paraId="4EAE399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为进一步做好我县</w:t>
      </w:r>
      <w:r>
        <w:rPr>
          <w:rFonts w:hint="eastAsia" w:ascii="仿宋_GB2312" w:hAnsi="仿宋_GB2312" w:eastAsia="仿宋_GB2312" w:cs="仿宋_GB2312"/>
          <w:b w:val="0"/>
          <w:bCs w:val="0"/>
          <w:sz w:val="32"/>
          <w:szCs w:val="32"/>
          <w:lang w:val="en-US" w:eastAsia="zh-CN"/>
        </w:rPr>
        <w:t>特色精品果业产业</w:t>
      </w:r>
      <w:r>
        <w:rPr>
          <w:rFonts w:hint="eastAsia" w:ascii="仿宋_GB2312" w:hAnsi="仿宋_GB2312" w:eastAsia="仿宋_GB2312" w:cs="仿宋_GB2312"/>
          <w:kern w:val="2"/>
          <w:sz w:val="32"/>
          <w:szCs w:val="32"/>
          <w:lang w:val="en-US" w:eastAsia="zh-CN" w:bidi="ar-SA"/>
        </w:rPr>
        <w:t>工作，</w:t>
      </w:r>
      <w:r>
        <w:rPr>
          <w:rFonts w:hint="eastAsia" w:eastAsia="仿宋_GB2312" w:cs="Nimbus Roman No9 L"/>
          <w:sz w:val="32"/>
          <w:szCs w:val="32"/>
          <w:lang w:val="en-US" w:eastAsia="zh-CN"/>
        </w:rPr>
        <w:t>下一步，我县将突出重点、</w:t>
      </w:r>
      <w:r>
        <w:rPr>
          <w:rFonts w:hint="eastAsia" w:eastAsia="仿宋_GB2312" w:cs="Nimbus Roman No9 L"/>
          <w:sz w:val="32"/>
          <w:szCs w:val="32"/>
        </w:rPr>
        <w:t>把握</w:t>
      </w:r>
      <w:r>
        <w:rPr>
          <w:rFonts w:hint="eastAsia" w:eastAsia="仿宋_GB2312" w:cs="Nimbus Roman No9 L"/>
          <w:sz w:val="32"/>
          <w:szCs w:val="32"/>
          <w:lang w:eastAsia="zh-CN"/>
        </w:rPr>
        <w:t>营销风口，</w:t>
      </w:r>
      <w:r>
        <w:rPr>
          <w:rFonts w:hint="default" w:eastAsia="仿宋_GB2312" w:cs="Nimbus Roman No9 L"/>
          <w:sz w:val="32"/>
          <w:szCs w:val="32"/>
        </w:rPr>
        <w:t>压紧压实责任，深入推进</w:t>
      </w:r>
      <w:r>
        <w:rPr>
          <w:rFonts w:hint="eastAsia" w:eastAsia="仿宋_GB2312" w:cs="Nimbus Roman No9 L"/>
          <w:sz w:val="32"/>
          <w:szCs w:val="32"/>
          <w:lang w:eastAsia="zh-CN"/>
        </w:rPr>
        <w:t>果</w:t>
      </w:r>
      <w:r>
        <w:rPr>
          <w:rFonts w:hint="default" w:eastAsia="仿宋_GB2312" w:cs="Nimbus Roman No9 L"/>
          <w:sz w:val="32"/>
          <w:szCs w:val="32"/>
        </w:rPr>
        <w:t>业农药化肥</w:t>
      </w:r>
      <w:r>
        <w:rPr>
          <w:rFonts w:hint="eastAsia" w:eastAsia="仿宋_GB2312" w:cs="Nimbus Roman No9 L"/>
          <w:sz w:val="32"/>
          <w:szCs w:val="32"/>
          <w:lang w:eastAsia="zh-CN"/>
        </w:rPr>
        <w:t>“</w:t>
      </w:r>
      <w:bookmarkStart w:id="0" w:name="_GoBack"/>
      <w:bookmarkEnd w:id="0"/>
      <w:r>
        <w:rPr>
          <w:rFonts w:hint="eastAsia" w:eastAsia="仿宋_GB2312" w:cs="Nimbus Roman No9 L"/>
          <w:sz w:val="32"/>
          <w:szCs w:val="32"/>
          <w:lang w:eastAsia="zh-CN"/>
        </w:rPr>
        <w:t>双</w:t>
      </w:r>
      <w:r>
        <w:rPr>
          <w:rFonts w:hint="default" w:eastAsia="仿宋_GB2312" w:cs="Nimbus Roman No9 L"/>
          <w:sz w:val="32"/>
          <w:szCs w:val="32"/>
        </w:rPr>
        <w:t>减</w:t>
      </w:r>
      <w:r>
        <w:rPr>
          <w:rFonts w:hint="eastAsia" w:eastAsia="仿宋_GB2312" w:cs="Nimbus Roman No9 L"/>
          <w:sz w:val="32"/>
          <w:szCs w:val="32"/>
          <w:lang w:eastAsia="zh-CN"/>
        </w:rPr>
        <w:t>”</w:t>
      </w:r>
      <w:r>
        <w:rPr>
          <w:rFonts w:hint="default" w:eastAsia="仿宋_GB2312" w:cs="Nimbus Roman No9 L"/>
          <w:sz w:val="32"/>
          <w:szCs w:val="32"/>
        </w:rPr>
        <w:t>施走深走实</w:t>
      </w:r>
      <w:r>
        <w:rPr>
          <w:rFonts w:hint="eastAsia" w:ascii="仿宋_GB2312" w:hAnsi="仿宋_GB2312" w:eastAsia="仿宋_GB2312" w:cs="仿宋_GB2312"/>
          <w:kern w:val="2"/>
          <w:sz w:val="32"/>
          <w:szCs w:val="32"/>
          <w:lang w:val="en-US" w:eastAsia="zh-CN" w:bidi="ar-SA"/>
        </w:rPr>
        <w:t>。</w:t>
      </w:r>
    </w:p>
    <w:p w14:paraId="6CC9359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lang w:eastAsia="zh-CN"/>
        </w:rPr>
        <w:t>加强技术服务指导。</w:t>
      </w:r>
      <w:r>
        <w:rPr>
          <w:rFonts w:hint="eastAsia" w:ascii="仿宋_GB2312" w:hAnsi="仿宋_GB2312" w:eastAsia="仿宋_GB2312" w:cs="仿宋_GB2312"/>
          <w:sz w:val="32"/>
          <w:szCs w:val="32"/>
          <w:lang w:val="en-US" w:eastAsia="zh-CN"/>
        </w:rPr>
        <w:t>针</w:t>
      </w:r>
      <w:r>
        <w:rPr>
          <w:rFonts w:hint="eastAsia" w:ascii="仿宋_GB2312" w:hAnsi="仿宋_GB2312" w:eastAsia="仿宋_GB2312" w:cs="仿宋_GB2312"/>
          <w:sz w:val="32"/>
          <w:szCs w:val="32"/>
          <w:lang w:eastAsia="zh-CN"/>
        </w:rPr>
        <w:t>对黄桃的修剪、施肥、施药等果园管理技术</w:t>
      </w:r>
      <w:r>
        <w:rPr>
          <w:rFonts w:hint="eastAsia" w:ascii="仿宋_GB2312" w:hAnsi="仿宋_GB2312" w:eastAsia="仿宋_GB2312" w:cs="仿宋_GB2312"/>
          <w:sz w:val="32"/>
          <w:szCs w:val="32"/>
          <w:lang w:val="en-US" w:eastAsia="zh-CN"/>
        </w:rPr>
        <w:t>等工作，将请市县果业专家指导工作</w:t>
      </w:r>
      <w:r>
        <w:rPr>
          <w:rFonts w:hint="eastAsia" w:ascii="仿宋_GB2312" w:hAnsi="仿宋_GB2312" w:eastAsia="仿宋_GB2312" w:cs="仿宋_GB2312"/>
          <w:sz w:val="32"/>
          <w:szCs w:val="32"/>
          <w:lang w:eastAsia="zh-CN"/>
        </w:rPr>
        <w:t>，为果农现场解决果园管理现有的技术难题及提出的问题，提高果农的田间管理水平，着力提升产品质量，提高精品果率，促进黄桃增产增收。</w:t>
      </w:r>
    </w:p>
    <w:p w14:paraId="5E55A05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2.加强宣传推介。</w:t>
      </w:r>
      <w:r>
        <w:rPr>
          <w:rFonts w:hint="eastAsia" w:ascii="仿宋_GB2312" w:hAnsi="仿宋_GB2312" w:eastAsia="仿宋_GB2312" w:cs="仿宋_GB2312"/>
          <w:b w:val="0"/>
          <w:bCs w:val="0"/>
          <w:sz w:val="32"/>
          <w:szCs w:val="32"/>
          <w:lang w:val="en-US" w:eastAsia="zh-CN"/>
        </w:rPr>
        <w:t>拓展“果业+文旅”。唱响石城果业品牌，联合本土企业</w:t>
      </w:r>
      <w:r>
        <w:rPr>
          <w:rFonts w:hint="eastAsia" w:ascii="仿宋_GB2312" w:hAnsi="仿宋_GB2312" w:eastAsia="仿宋_GB2312" w:cs="仿宋_GB2312"/>
          <w:sz w:val="32"/>
          <w:szCs w:val="32"/>
          <w:lang w:val="en-US" w:eastAsia="zh-CN"/>
        </w:rPr>
        <w:t>进行石城本土化、品牌化包装营销。开展采摘季、果树认养等一系列果旅融合发展活动，积极融入全域旅游县建设。以当季水果为主题，重点打造3-4个果旅融合基地。推出覆盖全年的以水果采摘为主题的采摘线路，第一季度以草莓为主；第二季度以李子、杨梅为主；第三季度以黄桃、猕猴桃及葡萄等为主；第四季度开展以赣南脐橙为主。</w:t>
      </w:r>
    </w:p>
    <w:p w14:paraId="1C6474F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3.联合县商务局等部门</w:t>
      </w:r>
      <w:r>
        <w:rPr>
          <w:rFonts w:hint="eastAsia" w:ascii="仿宋_GB2312" w:hAnsi="仿宋_GB2312" w:eastAsia="仿宋_GB2312" w:cs="仿宋_GB2312"/>
          <w:sz w:val="32"/>
          <w:szCs w:val="32"/>
          <w:lang w:val="en-US" w:eastAsia="zh-CN"/>
        </w:rPr>
        <w:t>，积极开展电商、抖音带货等线上营销培训。提高</w:t>
      </w:r>
      <w:r>
        <w:rPr>
          <w:rFonts w:hint="eastAsia" w:ascii="仿宋_GB2312" w:hAnsi="仿宋_GB2312" w:eastAsia="仿宋_GB2312" w:cs="仿宋_GB2312"/>
          <w:b w:val="0"/>
          <w:bCs w:val="0"/>
          <w:sz w:val="32"/>
          <w:szCs w:val="32"/>
          <w:lang w:val="en-US" w:eastAsia="zh-CN"/>
        </w:rPr>
        <w:t>本地企业转型开展线上销值及社会（农村）青年开展电商创业就业的积极性。</w:t>
      </w:r>
    </w:p>
    <w:p w14:paraId="7F7631A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cs="Noto Sans CJK JP Black"/>
          <w:b w:val="0"/>
          <w:bCs w:val="0"/>
          <w:kern w:val="2"/>
          <w:sz w:val="32"/>
          <w:szCs w:val="32"/>
          <w:lang w:val="en-US" w:eastAsia="zh-CN" w:bidi="ar-SA"/>
        </w:rPr>
      </w:pPr>
      <w:r>
        <w:rPr>
          <w:rFonts w:hint="eastAsia" w:ascii="仿宋_GB2312" w:hAnsi="仿宋_GB2312" w:eastAsia="仿宋_GB2312" w:cs="仿宋_GB2312"/>
          <w:sz w:val="32"/>
          <w:szCs w:val="32"/>
          <w:lang w:val="en-US" w:eastAsia="zh-CN"/>
        </w:rPr>
        <w:t>张文汇、赖湖北、邓东梅</w:t>
      </w:r>
      <w:r>
        <w:rPr>
          <w:rFonts w:ascii="仿宋_GB2312" w:hAnsi="宋体" w:eastAsia="仿宋_GB2312" w:cs="仿宋_GB2312"/>
          <w:i w:val="0"/>
          <w:iCs w:val="0"/>
          <w:caps w:val="0"/>
          <w:color w:val="333333"/>
          <w:spacing w:val="0"/>
          <w:sz w:val="32"/>
          <w:szCs w:val="32"/>
          <w:shd w:val="clear" w:fill="FFFFFF"/>
        </w:rPr>
        <w:t>代表，</w:t>
      </w:r>
      <w:r>
        <w:rPr>
          <w:rFonts w:hint="eastAsia" w:ascii="仿宋_GB2312" w:hAnsi="宋体" w:eastAsia="仿宋_GB2312" w:cs="仿宋_GB2312"/>
          <w:i w:val="0"/>
          <w:iCs w:val="0"/>
          <w:caps w:val="0"/>
          <w:color w:val="333333"/>
          <w:spacing w:val="0"/>
          <w:sz w:val="32"/>
          <w:szCs w:val="32"/>
          <w:shd w:val="clear" w:fill="FFFFFF"/>
        </w:rPr>
        <w:t>感谢</w:t>
      </w:r>
      <w:r>
        <w:rPr>
          <w:rFonts w:hint="eastAsia" w:ascii="仿宋_GB2312" w:hAnsi="宋体" w:eastAsia="仿宋_GB2312" w:cs="仿宋_GB2312"/>
          <w:i w:val="0"/>
          <w:iCs w:val="0"/>
          <w:caps w:val="0"/>
          <w:color w:val="333333"/>
          <w:spacing w:val="0"/>
          <w:sz w:val="32"/>
          <w:szCs w:val="32"/>
          <w:shd w:val="clear" w:fill="FFFFFF"/>
          <w:lang w:eastAsia="zh-CN"/>
        </w:rPr>
        <w:t>你们</w:t>
      </w:r>
      <w:r>
        <w:rPr>
          <w:rFonts w:hint="eastAsia" w:ascii="仿宋_GB2312" w:hAnsi="宋体" w:eastAsia="仿宋_GB2312" w:cs="仿宋_GB2312"/>
          <w:i w:val="0"/>
          <w:iCs w:val="0"/>
          <w:caps w:val="0"/>
          <w:color w:val="333333"/>
          <w:spacing w:val="0"/>
          <w:sz w:val="32"/>
          <w:szCs w:val="32"/>
          <w:shd w:val="clear" w:fill="FFFFFF"/>
        </w:rPr>
        <w:t>对我们工作的关心和支持以及对我们工作提出宝贵建议。</w:t>
      </w:r>
      <w:r>
        <w:rPr>
          <w:rFonts w:hint="eastAsia" w:ascii="仿宋_GB2312" w:hAnsi="宋体" w:eastAsia="仿宋_GB2312" w:cs="仿宋_GB2312"/>
          <w:i w:val="0"/>
          <w:iCs w:val="0"/>
          <w:caps w:val="0"/>
          <w:color w:val="333333"/>
          <w:spacing w:val="0"/>
          <w:sz w:val="32"/>
          <w:szCs w:val="32"/>
          <w:shd w:val="clear" w:fill="FFFFFF"/>
          <w:lang w:eastAsia="zh-CN"/>
        </w:rPr>
        <w:t>果业</w:t>
      </w:r>
      <w:r>
        <w:rPr>
          <w:rFonts w:hint="eastAsia" w:ascii="仿宋_GB2312" w:hAnsi="宋体" w:eastAsia="仿宋_GB2312" w:cs="仿宋_GB2312"/>
          <w:i w:val="0"/>
          <w:iCs w:val="0"/>
          <w:caps w:val="0"/>
          <w:color w:val="333333"/>
          <w:spacing w:val="0"/>
          <w:sz w:val="32"/>
          <w:szCs w:val="32"/>
          <w:shd w:val="clear" w:fill="FFFFFF"/>
        </w:rPr>
        <w:t>产业的发展一直是我们最主要的工作任务之一，也是我们的光荣使命。我们将一如既往，履职尽责，做好本职工作，为石城县</w:t>
      </w:r>
      <w:r>
        <w:rPr>
          <w:rFonts w:hint="eastAsia" w:ascii="仿宋_GB2312" w:hAnsi="宋体" w:eastAsia="仿宋_GB2312" w:cs="仿宋_GB2312"/>
          <w:i w:val="0"/>
          <w:iCs w:val="0"/>
          <w:caps w:val="0"/>
          <w:color w:val="333333"/>
          <w:spacing w:val="0"/>
          <w:sz w:val="32"/>
          <w:szCs w:val="32"/>
          <w:shd w:val="clear" w:fill="FFFFFF"/>
          <w:lang w:eastAsia="zh-CN"/>
        </w:rPr>
        <w:t>果</w:t>
      </w:r>
      <w:r>
        <w:rPr>
          <w:rFonts w:hint="eastAsia" w:ascii="仿宋_GB2312" w:hAnsi="宋体" w:eastAsia="仿宋_GB2312" w:cs="仿宋_GB2312"/>
          <w:i w:val="0"/>
          <w:iCs w:val="0"/>
          <w:caps w:val="0"/>
          <w:color w:val="333333"/>
          <w:spacing w:val="0"/>
          <w:sz w:val="32"/>
          <w:szCs w:val="32"/>
          <w:shd w:val="clear" w:fill="FFFFFF"/>
        </w:rPr>
        <w:t>业的发展和兴旺贡献我们的力量。您对我们的办理和答复有何意见和建议欢迎提出，以便我们进一步做好工作。</w:t>
      </w:r>
    </w:p>
    <w:p w14:paraId="0442543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cs="Noto Sans CJK JP Black"/>
          <w:b w:val="0"/>
          <w:bCs w:val="0"/>
          <w:kern w:val="2"/>
          <w:sz w:val="32"/>
          <w:szCs w:val="32"/>
          <w:lang w:val="en-US" w:eastAsia="zh-CN" w:bidi="ar-SA"/>
        </w:rPr>
      </w:pPr>
    </w:p>
    <w:p w14:paraId="22F51DF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cs="Noto Sans CJK JP Black"/>
          <w:b w:val="0"/>
          <w:bCs w:val="0"/>
          <w:kern w:val="2"/>
          <w:sz w:val="32"/>
          <w:szCs w:val="32"/>
          <w:lang w:val="en-US" w:eastAsia="zh-CN" w:bidi="ar-SA"/>
        </w:rPr>
      </w:pPr>
      <w:r>
        <w:rPr>
          <w:rFonts w:hint="eastAsia" w:ascii="宋体" w:hAnsi="宋体" w:eastAsia="仿宋_GB2312" w:cs="Noto Sans CJK JP Black"/>
          <w:b w:val="0"/>
          <w:bCs w:val="0"/>
          <w:kern w:val="2"/>
          <w:sz w:val="32"/>
          <w:szCs w:val="32"/>
          <w:lang w:val="en-US" w:eastAsia="zh-CN" w:bidi="ar-SA"/>
        </w:rPr>
        <w:t>附：办理情况征询意见表</w:t>
      </w:r>
    </w:p>
    <w:p w14:paraId="1F5AF7EE">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center"/>
        <w:textAlignment w:val="auto"/>
        <w:rPr>
          <w:rFonts w:hint="eastAsia" w:ascii="宋体" w:hAnsi="宋体" w:eastAsia="仿宋_GB2312" w:cs="Noto Sans CJK JP Black"/>
          <w:b w:val="0"/>
          <w:bCs w:val="0"/>
          <w:kern w:val="2"/>
          <w:sz w:val="32"/>
          <w:szCs w:val="32"/>
          <w:lang w:val="en-US" w:eastAsia="zh-CN" w:bidi="ar-SA"/>
        </w:rPr>
      </w:pPr>
      <w:r>
        <w:rPr>
          <w:rFonts w:hint="eastAsia" w:ascii="宋体" w:hAnsi="宋体" w:eastAsia="仿宋_GB2312" w:cs="Noto Sans CJK JP Black"/>
          <w:b w:val="0"/>
          <w:bCs w:val="0"/>
          <w:kern w:val="2"/>
          <w:sz w:val="32"/>
          <w:szCs w:val="32"/>
          <w:lang w:val="en-US" w:eastAsia="zh-CN" w:bidi="ar-SA"/>
        </w:rPr>
        <w:t xml:space="preserve">                      </w:t>
      </w:r>
    </w:p>
    <w:p w14:paraId="6BE5F871">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center"/>
        <w:textAlignment w:val="auto"/>
        <w:rPr>
          <w:rFonts w:hint="eastAsia" w:ascii="宋体" w:hAnsi="宋体" w:eastAsia="仿宋_GB2312" w:cs="Noto Sans CJK JP Black"/>
          <w:b w:val="0"/>
          <w:bCs w:val="0"/>
          <w:kern w:val="2"/>
          <w:sz w:val="32"/>
          <w:szCs w:val="32"/>
          <w:lang w:val="en-US" w:eastAsia="zh-CN" w:bidi="ar-SA"/>
        </w:rPr>
      </w:pPr>
      <w:r>
        <w:rPr>
          <w:rFonts w:hint="eastAsia" w:ascii="宋体" w:hAnsi="宋体" w:eastAsia="仿宋_GB2312" w:cs="Noto Sans CJK JP Black"/>
          <w:b w:val="0"/>
          <w:bCs w:val="0"/>
          <w:kern w:val="2"/>
          <w:sz w:val="32"/>
          <w:szCs w:val="32"/>
          <w:lang w:val="en-US" w:eastAsia="zh-CN" w:bidi="ar-SA"/>
        </w:rPr>
        <w:t xml:space="preserve">                         石城县果茶发展服务中心</w:t>
      </w:r>
    </w:p>
    <w:p w14:paraId="03B8FD20">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center"/>
        <w:textAlignment w:val="auto"/>
        <w:rPr>
          <w:rFonts w:hint="default" w:ascii="宋体" w:hAnsi="宋体" w:eastAsia="仿宋_GB2312" w:cs="Noto Sans CJK JP Black"/>
          <w:b w:val="0"/>
          <w:bCs w:val="0"/>
          <w:kern w:val="2"/>
          <w:sz w:val="32"/>
          <w:szCs w:val="32"/>
          <w:lang w:val="en-US" w:eastAsia="zh-CN" w:bidi="ar-SA"/>
        </w:rPr>
      </w:pPr>
      <w:r>
        <w:rPr>
          <w:rFonts w:hint="eastAsia" w:ascii="宋体" w:hAnsi="宋体" w:eastAsia="仿宋_GB2312" w:cs="Noto Sans CJK JP Black"/>
          <w:b w:val="0"/>
          <w:bCs w:val="0"/>
          <w:kern w:val="2"/>
          <w:sz w:val="32"/>
          <w:szCs w:val="32"/>
          <w:lang w:val="en-US" w:eastAsia="zh-CN" w:bidi="ar-SA"/>
        </w:rPr>
        <w:t xml:space="preserve">                             2024年6月28日</w:t>
      </w:r>
    </w:p>
    <w:p w14:paraId="1D61728C">
      <w:pPr>
        <w:pStyle w:val="2"/>
        <w:keepNext w:val="0"/>
        <w:keepLines w:val="0"/>
        <w:pageBreakBefore w:val="0"/>
        <w:widowControl/>
        <w:kinsoku/>
        <w:wordWrap/>
        <w:overflowPunct/>
        <w:topLinePunct w:val="0"/>
        <w:autoSpaceDE/>
        <w:autoSpaceDN/>
        <w:bidi w:val="0"/>
        <w:adjustRightInd/>
        <w:snapToGrid/>
        <w:spacing w:before="45" w:line="540" w:lineRule="exact"/>
        <w:ind w:firstLine="668" w:firstLineChars="200"/>
        <w:textAlignment w:val="auto"/>
        <w:rPr>
          <w:rFonts w:hint="eastAsia" w:ascii="仿宋_GB2312" w:hAnsi="仿宋_GB2312" w:eastAsia="仿宋_GB2312" w:cs="仿宋_GB2312"/>
          <w:spacing w:val="7"/>
          <w:sz w:val="32"/>
          <w:szCs w:val="32"/>
          <w:lang w:val="en-US" w:eastAsia="zh-CN"/>
        </w:rPr>
      </w:pPr>
      <w:r>
        <w:rPr>
          <w:rFonts w:hint="eastAsia" w:ascii="仿宋_GB2312" w:hAnsi="仿宋_GB2312" w:eastAsia="仿宋_GB2312" w:cs="仿宋_GB2312"/>
          <w:spacing w:val="7"/>
          <w:sz w:val="32"/>
          <w:szCs w:val="32"/>
        </w:rPr>
        <w:t>承办单位及电话：</w:t>
      </w:r>
      <w:r>
        <w:rPr>
          <w:rFonts w:hint="eastAsia" w:ascii="仿宋_GB2312" w:hAnsi="仿宋_GB2312" w:eastAsia="仿宋_GB2312" w:cs="仿宋_GB2312"/>
          <w:spacing w:val="7"/>
          <w:sz w:val="32"/>
          <w:szCs w:val="32"/>
          <w:lang w:eastAsia="zh-CN"/>
        </w:rPr>
        <w:t>石城县果茶发展服务中心</w:t>
      </w:r>
      <w:r>
        <w:rPr>
          <w:rFonts w:hint="eastAsia" w:ascii="仿宋_GB2312" w:hAnsi="仿宋_GB2312" w:eastAsia="仿宋_GB2312" w:cs="仿宋_GB2312"/>
          <w:spacing w:val="7"/>
          <w:sz w:val="32"/>
          <w:szCs w:val="32"/>
          <w:lang w:val="en-US" w:eastAsia="zh-CN"/>
        </w:rPr>
        <w:t xml:space="preserve"> </w:t>
      </w:r>
    </w:p>
    <w:p w14:paraId="66F04C86">
      <w:pPr>
        <w:pStyle w:val="2"/>
        <w:keepNext w:val="0"/>
        <w:keepLines w:val="0"/>
        <w:pageBreakBefore w:val="0"/>
        <w:widowControl/>
        <w:kinsoku/>
        <w:wordWrap/>
        <w:overflowPunct/>
        <w:topLinePunct w:val="0"/>
        <w:autoSpaceDE/>
        <w:autoSpaceDN/>
        <w:bidi w:val="0"/>
        <w:adjustRightInd/>
        <w:snapToGrid/>
        <w:spacing w:before="45" w:line="540" w:lineRule="exact"/>
        <w:ind w:firstLine="668"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pacing w:val="7"/>
          <w:sz w:val="32"/>
          <w:szCs w:val="32"/>
        </w:rPr>
        <w:t>电话：</w:t>
      </w:r>
      <w:r>
        <w:rPr>
          <w:rFonts w:hint="eastAsia" w:ascii="仿宋_GB2312" w:hAnsi="仿宋_GB2312" w:eastAsia="仿宋_GB2312" w:cs="仿宋_GB2312"/>
          <w:spacing w:val="7"/>
          <w:sz w:val="32"/>
          <w:szCs w:val="32"/>
          <w:lang w:val="en-US" w:eastAsia="zh-CN"/>
        </w:rPr>
        <w:t>0797-5721560，</w:t>
      </w:r>
      <w:r>
        <w:rPr>
          <w:rFonts w:hint="eastAsia" w:ascii="仿宋_GB2312" w:hAnsi="仿宋_GB2312" w:eastAsia="仿宋_GB2312" w:cs="仿宋_GB2312"/>
          <w:spacing w:val="7"/>
          <w:sz w:val="32"/>
          <w:szCs w:val="32"/>
        </w:rPr>
        <w:t>邮编</w:t>
      </w:r>
      <w:r>
        <w:rPr>
          <w:rFonts w:hint="eastAsia" w:ascii="仿宋_GB2312" w:hAnsi="仿宋_GB2312" w:eastAsia="仿宋_GB2312" w:cs="仿宋_GB2312"/>
          <w:spacing w:val="7"/>
          <w:sz w:val="32"/>
          <w:szCs w:val="32"/>
          <w:lang w:eastAsia="zh-CN"/>
        </w:rPr>
        <w:t>：</w:t>
      </w:r>
      <w:r>
        <w:rPr>
          <w:rFonts w:hint="eastAsia" w:ascii="仿宋_GB2312" w:hAnsi="仿宋_GB2312" w:eastAsia="仿宋_GB2312" w:cs="仿宋_GB2312"/>
          <w:spacing w:val="7"/>
          <w:sz w:val="32"/>
          <w:szCs w:val="32"/>
          <w:lang w:val="en-US" w:eastAsia="zh-CN"/>
        </w:rPr>
        <w:t>342700。</w:t>
      </w:r>
    </w:p>
    <w:p w14:paraId="425B0066">
      <w:pPr>
        <w:pStyle w:val="2"/>
        <w:keepNext w:val="0"/>
        <w:keepLines w:val="0"/>
        <w:pageBreakBefore w:val="0"/>
        <w:widowControl/>
        <w:kinsoku/>
        <w:wordWrap/>
        <w:overflowPunct/>
        <w:topLinePunct w:val="0"/>
        <w:autoSpaceDE/>
        <w:autoSpaceDN/>
        <w:bidi w:val="0"/>
        <w:adjustRightInd/>
        <w:snapToGrid/>
        <w:spacing w:before="91" w:line="560" w:lineRule="exac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pacing w:val="9"/>
          <w:sz w:val="28"/>
          <w:szCs w:val="28"/>
        </w:rPr>
        <w:t>抄送：县人大常委会选任联工委（或县政协提案委</w:t>
      </w:r>
      <w:r>
        <w:rPr>
          <w:rFonts w:hint="eastAsia" w:ascii="仿宋_GB2312" w:hAnsi="仿宋_GB2312" w:eastAsia="仿宋_GB2312" w:cs="仿宋_GB2312"/>
          <w:spacing w:val="33"/>
          <w:sz w:val="28"/>
          <w:szCs w:val="28"/>
        </w:rPr>
        <w:t>），</w:t>
      </w:r>
      <w:r>
        <w:rPr>
          <w:rFonts w:hint="eastAsia" w:ascii="仿宋_GB2312" w:hAnsi="仿宋_GB2312" w:eastAsia="仿宋_GB2312" w:cs="仿宋_GB2312"/>
          <w:spacing w:val="9"/>
          <w:sz w:val="28"/>
          <w:szCs w:val="28"/>
        </w:rPr>
        <w:t>县政府办。</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FangSong_GB2312">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Nimbus Roman No9 L">
    <w:altName w:val="微软雅黑"/>
    <w:panose1 w:val="00000000000000000000"/>
    <w:charset w:val="00"/>
    <w:family w:val="auto"/>
    <w:pitch w:val="default"/>
    <w:sig w:usb0="00000000" w:usb1="00000000" w:usb2="00000000" w:usb3="00000000" w:csb0="00040001" w:csb1="00000000"/>
  </w:font>
  <w:font w:name="Noto Sans CJK JP Black">
    <w:altName w:val="宋体"/>
    <w:panose1 w:val="020B0A00000000000000"/>
    <w:charset w:val="86"/>
    <w:family w:val="swiss"/>
    <w:pitch w:val="default"/>
    <w:sig w:usb0="00000000" w:usb1="0000000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5B0EE2">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06D307">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C06D307">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iNDk0OTMzNzA1NDg5MGZiODQ5ZDdjMjczYmRkOTUifQ=="/>
  </w:docVars>
  <w:rsids>
    <w:rsidRoot w:val="53CA55A5"/>
    <w:rsid w:val="00AC32F4"/>
    <w:rsid w:val="00AC7516"/>
    <w:rsid w:val="01364A85"/>
    <w:rsid w:val="01727E67"/>
    <w:rsid w:val="01966A43"/>
    <w:rsid w:val="02186C21"/>
    <w:rsid w:val="02BC456E"/>
    <w:rsid w:val="039B19F4"/>
    <w:rsid w:val="04701BC7"/>
    <w:rsid w:val="04AE14AD"/>
    <w:rsid w:val="04FE7008"/>
    <w:rsid w:val="055D4FB0"/>
    <w:rsid w:val="061E2423"/>
    <w:rsid w:val="0625193E"/>
    <w:rsid w:val="06EE63EC"/>
    <w:rsid w:val="06F0762C"/>
    <w:rsid w:val="07016C8C"/>
    <w:rsid w:val="07856CFB"/>
    <w:rsid w:val="0824345C"/>
    <w:rsid w:val="08632A14"/>
    <w:rsid w:val="09085F63"/>
    <w:rsid w:val="096A434E"/>
    <w:rsid w:val="098E3DE0"/>
    <w:rsid w:val="0AA37211"/>
    <w:rsid w:val="0AF81CB9"/>
    <w:rsid w:val="0B180D67"/>
    <w:rsid w:val="0B1E1637"/>
    <w:rsid w:val="0BAF10CF"/>
    <w:rsid w:val="0D555559"/>
    <w:rsid w:val="0D5D7F7A"/>
    <w:rsid w:val="0D633DE7"/>
    <w:rsid w:val="0DEC574C"/>
    <w:rsid w:val="0DF97430"/>
    <w:rsid w:val="0E0B600F"/>
    <w:rsid w:val="0E0F33E0"/>
    <w:rsid w:val="0FBB08C0"/>
    <w:rsid w:val="0FCB04F9"/>
    <w:rsid w:val="0FCB1501"/>
    <w:rsid w:val="0FDE7A08"/>
    <w:rsid w:val="10696F39"/>
    <w:rsid w:val="10C21AD2"/>
    <w:rsid w:val="11AD7D28"/>
    <w:rsid w:val="11E46CF9"/>
    <w:rsid w:val="12664505"/>
    <w:rsid w:val="126E2217"/>
    <w:rsid w:val="12F90A83"/>
    <w:rsid w:val="13723D8C"/>
    <w:rsid w:val="13860150"/>
    <w:rsid w:val="139347BB"/>
    <w:rsid w:val="140E2707"/>
    <w:rsid w:val="144B1F58"/>
    <w:rsid w:val="14D10ACB"/>
    <w:rsid w:val="14ED2EB5"/>
    <w:rsid w:val="15017D2C"/>
    <w:rsid w:val="154417F0"/>
    <w:rsid w:val="156A408F"/>
    <w:rsid w:val="171B74E1"/>
    <w:rsid w:val="177C269E"/>
    <w:rsid w:val="17831333"/>
    <w:rsid w:val="18CB3DF5"/>
    <w:rsid w:val="19865F77"/>
    <w:rsid w:val="19D52A4C"/>
    <w:rsid w:val="1A053239"/>
    <w:rsid w:val="1A3C3108"/>
    <w:rsid w:val="1ABF19DF"/>
    <w:rsid w:val="1BE86120"/>
    <w:rsid w:val="1C5C71FE"/>
    <w:rsid w:val="1E007683"/>
    <w:rsid w:val="1E3236E7"/>
    <w:rsid w:val="1E5E064F"/>
    <w:rsid w:val="1EA3019C"/>
    <w:rsid w:val="1F3F53D7"/>
    <w:rsid w:val="1FA623CC"/>
    <w:rsid w:val="20247D5E"/>
    <w:rsid w:val="204011DC"/>
    <w:rsid w:val="20424F32"/>
    <w:rsid w:val="208044D9"/>
    <w:rsid w:val="20B14C51"/>
    <w:rsid w:val="20E8344C"/>
    <w:rsid w:val="211623F8"/>
    <w:rsid w:val="21456769"/>
    <w:rsid w:val="21896614"/>
    <w:rsid w:val="21D77D4C"/>
    <w:rsid w:val="229D3CDD"/>
    <w:rsid w:val="23986FCC"/>
    <w:rsid w:val="23B219C7"/>
    <w:rsid w:val="24746974"/>
    <w:rsid w:val="24FC50EF"/>
    <w:rsid w:val="25CC0629"/>
    <w:rsid w:val="25D37E68"/>
    <w:rsid w:val="2635339A"/>
    <w:rsid w:val="268536FC"/>
    <w:rsid w:val="26A7454B"/>
    <w:rsid w:val="270C31F5"/>
    <w:rsid w:val="272D0E67"/>
    <w:rsid w:val="27537F9A"/>
    <w:rsid w:val="27DD0726"/>
    <w:rsid w:val="285F4827"/>
    <w:rsid w:val="28B51E61"/>
    <w:rsid w:val="28C20653"/>
    <w:rsid w:val="28CF534C"/>
    <w:rsid w:val="28EB4C68"/>
    <w:rsid w:val="29E92143"/>
    <w:rsid w:val="29F115FF"/>
    <w:rsid w:val="2BA21FB9"/>
    <w:rsid w:val="2C034078"/>
    <w:rsid w:val="2C1A4E76"/>
    <w:rsid w:val="2C1E7829"/>
    <w:rsid w:val="2C2320DA"/>
    <w:rsid w:val="2CA426A5"/>
    <w:rsid w:val="2CC7760B"/>
    <w:rsid w:val="2D056CBD"/>
    <w:rsid w:val="2EA279DC"/>
    <w:rsid w:val="2F437F90"/>
    <w:rsid w:val="2F5F181F"/>
    <w:rsid w:val="31CE7A41"/>
    <w:rsid w:val="320A16D8"/>
    <w:rsid w:val="3240677C"/>
    <w:rsid w:val="32BC7817"/>
    <w:rsid w:val="33494AD7"/>
    <w:rsid w:val="33943F80"/>
    <w:rsid w:val="33A21AC0"/>
    <w:rsid w:val="345901BD"/>
    <w:rsid w:val="35204B68"/>
    <w:rsid w:val="35232D06"/>
    <w:rsid w:val="353C488A"/>
    <w:rsid w:val="357F29D3"/>
    <w:rsid w:val="35CB3537"/>
    <w:rsid w:val="3661303D"/>
    <w:rsid w:val="36FD6AAE"/>
    <w:rsid w:val="377A2389"/>
    <w:rsid w:val="379B232C"/>
    <w:rsid w:val="37F84C6D"/>
    <w:rsid w:val="38D868C0"/>
    <w:rsid w:val="38FE502E"/>
    <w:rsid w:val="392E3A52"/>
    <w:rsid w:val="397A5E3B"/>
    <w:rsid w:val="3A1A517F"/>
    <w:rsid w:val="3AA21E17"/>
    <w:rsid w:val="3AED35AC"/>
    <w:rsid w:val="3B2A7558"/>
    <w:rsid w:val="3CD2615F"/>
    <w:rsid w:val="3D112E40"/>
    <w:rsid w:val="3D7D6D71"/>
    <w:rsid w:val="3ECA199E"/>
    <w:rsid w:val="3F17393C"/>
    <w:rsid w:val="3F2B5A01"/>
    <w:rsid w:val="401C35B7"/>
    <w:rsid w:val="40A97419"/>
    <w:rsid w:val="40D4267E"/>
    <w:rsid w:val="422464F0"/>
    <w:rsid w:val="42B21A13"/>
    <w:rsid w:val="430925CB"/>
    <w:rsid w:val="439355A9"/>
    <w:rsid w:val="44091E78"/>
    <w:rsid w:val="44405C2B"/>
    <w:rsid w:val="446B680E"/>
    <w:rsid w:val="45B15ACC"/>
    <w:rsid w:val="45D34F35"/>
    <w:rsid w:val="45F17C27"/>
    <w:rsid w:val="46A377BE"/>
    <w:rsid w:val="46F611F8"/>
    <w:rsid w:val="47051780"/>
    <w:rsid w:val="47305F43"/>
    <w:rsid w:val="4778525C"/>
    <w:rsid w:val="481A5213"/>
    <w:rsid w:val="485966B8"/>
    <w:rsid w:val="48C75DE6"/>
    <w:rsid w:val="4902492A"/>
    <w:rsid w:val="490617F9"/>
    <w:rsid w:val="493B5AE2"/>
    <w:rsid w:val="494730F1"/>
    <w:rsid w:val="49577C04"/>
    <w:rsid w:val="498561A6"/>
    <w:rsid w:val="499E03B9"/>
    <w:rsid w:val="4A2904B2"/>
    <w:rsid w:val="4A995635"/>
    <w:rsid w:val="4B427400"/>
    <w:rsid w:val="4CB07014"/>
    <w:rsid w:val="4CB20DF8"/>
    <w:rsid w:val="4CB924DE"/>
    <w:rsid w:val="4D3447D0"/>
    <w:rsid w:val="4DC51E49"/>
    <w:rsid w:val="4E527F2E"/>
    <w:rsid w:val="4FD60C7A"/>
    <w:rsid w:val="506670AC"/>
    <w:rsid w:val="506D0581"/>
    <w:rsid w:val="50BB44E8"/>
    <w:rsid w:val="50D05129"/>
    <w:rsid w:val="52B5347F"/>
    <w:rsid w:val="532F5C29"/>
    <w:rsid w:val="534124B4"/>
    <w:rsid w:val="53561FCC"/>
    <w:rsid w:val="53B84C57"/>
    <w:rsid w:val="53CA55A5"/>
    <w:rsid w:val="53E529AC"/>
    <w:rsid w:val="545169E5"/>
    <w:rsid w:val="548B024E"/>
    <w:rsid w:val="54C424B2"/>
    <w:rsid w:val="554333D2"/>
    <w:rsid w:val="554460C1"/>
    <w:rsid w:val="55524D1E"/>
    <w:rsid w:val="558325D1"/>
    <w:rsid w:val="558723E6"/>
    <w:rsid w:val="56266211"/>
    <w:rsid w:val="562D0641"/>
    <w:rsid w:val="56541AF3"/>
    <w:rsid w:val="57063B6F"/>
    <w:rsid w:val="577E0003"/>
    <w:rsid w:val="57BC485E"/>
    <w:rsid w:val="57C90286"/>
    <w:rsid w:val="57EB56E6"/>
    <w:rsid w:val="59B519CA"/>
    <w:rsid w:val="59B628C2"/>
    <w:rsid w:val="5A310454"/>
    <w:rsid w:val="5A4B2785"/>
    <w:rsid w:val="5A6D7319"/>
    <w:rsid w:val="5B3B02A9"/>
    <w:rsid w:val="5B6167EC"/>
    <w:rsid w:val="5B780776"/>
    <w:rsid w:val="5BA9042E"/>
    <w:rsid w:val="5BAE567A"/>
    <w:rsid w:val="5C385B99"/>
    <w:rsid w:val="5C694F36"/>
    <w:rsid w:val="5C845565"/>
    <w:rsid w:val="5D884F64"/>
    <w:rsid w:val="5E0922CE"/>
    <w:rsid w:val="5E24514A"/>
    <w:rsid w:val="5E5E52FD"/>
    <w:rsid w:val="5F316757"/>
    <w:rsid w:val="5F7539E8"/>
    <w:rsid w:val="5F86049B"/>
    <w:rsid w:val="5FA72F5E"/>
    <w:rsid w:val="5FB81F69"/>
    <w:rsid w:val="60240163"/>
    <w:rsid w:val="60B7319B"/>
    <w:rsid w:val="61373628"/>
    <w:rsid w:val="614E2ACD"/>
    <w:rsid w:val="6187743E"/>
    <w:rsid w:val="62CD3AF1"/>
    <w:rsid w:val="63BF37CF"/>
    <w:rsid w:val="63C3139A"/>
    <w:rsid w:val="63C81690"/>
    <w:rsid w:val="63CA59E3"/>
    <w:rsid w:val="63EF49BB"/>
    <w:rsid w:val="63F64A6F"/>
    <w:rsid w:val="63FC464D"/>
    <w:rsid w:val="646254A8"/>
    <w:rsid w:val="64B71D6A"/>
    <w:rsid w:val="658D107D"/>
    <w:rsid w:val="65BB604E"/>
    <w:rsid w:val="662D1D28"/>
    <w:rsid w:val="66882F46"/>
    <w:rsid w:val="677624B2"/>
    <w:rsid w:val="679C23D4"/>
    <w:rsid w:val="67E23CA8"/>
    <w:rsid w:val="67F004F3"/>
    <w:rsid w:val="687F0996"/>
    <w:rsid w:val="68C010B8"/>
    <w:rsid w:val="68D9797D"/>
    <w:rsid w:val="69720DFA"/>
    <w:rsid w:val="6A0D717C"/>
    <w:rsid w:val="6A753081"/>
    <w:rsid w:val="6A7E6E20"/>
    <w:rsid w:val="6AD82C08"/>
    <w:rsid w:val="6B365791"/>
    <w:rsid w:val="6B964DA4"/>
    <w:rsid w:val="6BF42798"/>
    <w:rsid w:val="6BF8564E"/>
    <w:rsid w:val="6C694BAE"/>
    <w:rsid w:val="6C8A3B10"/>
    <w:rsid w:val="6CC10761"/>
    <w:rsid w:val="6CC56F0B"/>
    <w:rsid w:val="6D99234B"/>
    <w:rsid w:val="6DC80F09"/>
    <w:rsid w:val="6E6D5E4C"/>
    <w:rsid w:val="6E82185B"/>
    <w:rsid w:val="6EEA78C5"/>
    <w:rsid w:val="6EF02EEE"/>
    <w:rsid w:val="6F9F6037"/>
    <w:rsid w:val="702D25D0"/>
    <w:rsid w:val="703A0B5E"/>
    <w:rsid w:val="706741C9"/>
    <w:rsid w:val="70A7195F"/>
    <w:rsid w:val="711E669E"/>
    <w:rsid w:val="7197658E"/>
    <w:rsid w:val="726D1ECD"/>
    <w:rsid w:val="73045F4F"/>
    <w:rsid w:val="73631691"/>
    <w:rsid w:val="744A526E"/>
    <w:rsid w:val="745D12BB"/>
    <w:rsid w:val="74723756"/>
    <w:rsid w:val="7483356E"/>
    <w:rsid w:val="74CE63AB"/>
    <w:rsid w:val="751D64C0"/>
    <w:rsid w:val="752A1C8E"/>
    <w:rsid w:val="757E664F"/>
    <w:rsid w:val="75960C5A"/>
    <w:rsid w:val="75CD1AFE"/>
    <w:rsid w:val="774A5F2A"/>
    <w:rsid w:val="77552E61"/>
    <w:rsid w:val="784043CD"/>
    <w:rsid w:val="78EA4894"/>
    <w:rsid w:val="79333626"/>
    <w:rsid w:val="7961621F"/>
    <w:rsid w:val="799A1A9D"/>
    <w:rsid w:val="7A276FBB"/>
    <w:rsid w:val="7AA120F2"/>
    <w:rsid w:val="7AE8324A"/>
    <w:rsid w:val="7BE760D1"/>
    <w:rsid w:val="7BE94201"/>
    <w:rsid w:val="7C8708BD"/>
    <w:rsid w:val="7CB64B13"/>
    <w:rsid w:val="7CC262CF"/>
    <w:rsid w:val="7D6B18AC"/>
    <w:rsid w:val="7D89694D"/>
    <w:rsid w:val="7E98180B"/>
    <w:rsid w:val="7EC63730"/>
    <w:rsid w:val="7ED87054"/>
    <w:rsid w:val="7EE53852"/>
    <w:rsid w:val="7F0532F9"/>
    <w:rsid w:val="7F39774F"/>
    <w:rsid w:val="7F991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eastAsia="方正小标宋简体" w:cs="方正小标宋简体" w:asciiTheme="minorHAnsi" w:hAnsiTheme="minorHAnsi"/>
      <w:kern w:val="2"/>
      <w:sz w:val="44"/>
      <w:szCs w:val="4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eading2"/>
    <w:basedOn w:val="1"/>
    <w:next w:val="1"/>
    <w:qFormat/>
    <w:uiPriority w:val="0"/>
    <w:pPr>
      <w:spacing w:beforeAutospacing="1" w:afterAutospacing="1" w:line="560" w:lineRule="exact"/>
      <w:jc w:val="left"/>
      <w:textAlignment w:val="baseline"/>
    </w:pPr>
    <w:rPr>
      <w:rFonts w:ascii="宋体" w:hAnsi="宋体"/>
      <w:b/>
      <w:kern w:val="0"/>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2340</Words>
  <Characters>2427</Characters>
  <Lines>0</Lines>
  <Paragraphs>0</Paragraphs>
  <TotalTime>34</TotalTime>
  <ScaleCrop>false</ScaleCrop>
  <LinksUpToDate>false</LinksUpToDate>
  <CharactersWithSpaces>2552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2024-06-26T00:55:00Z</dcterms:created>
  <dc:creator>零点</dc:creator>
  <cp:lastModifiedBy>零点</cp:lastModifiedBy>
  <cp:lastPrinted>2024-06-28T09:26:00Z</cp:lastPrinted>
  <dcterms:modified xsi:type="dcterms:W3CDTF">2024-08-22T08:59:06Z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546FD16990A44C9895D35F6A3F4FE15A_13</vt:lpwstr>
  </property>
</Properties>
</file>