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line="560" w:lineRule="atLeast"/>
        <w:ind w:left="150" w:right="92"/>
        <w:jc w:val="center"/>
        <w:rPr>
          <w:rFonts w:ascii="仿宋" w:hAnsi="仿宋" w:eastAsia="仿宋"/>
          <w:sz w:val="21"/>
          <w:szCs w:val="21"/>
        </w:rPr>
      </w:pPr>
      <w:r>
        <w:rPr>
          <w:rFonts w:hint="eastAsia" w:ascii="仿宋" w:hAnsi="仿宋" w:eastAsia="仿宋" w:cs="宋体"/>
          <w:b/>
          <w:sz w:val="30"/>
          <w:szCs w:val="30"/>
          <w:shd w:val="clear" w:color="auto" w:fill="FFFFFF"/>
        </w:rPr>
        <w:t>赣州常兴项目咨询管理有限公司关于江西省石城县泰通路桥工程有限公司</w:t>
      </w:r>
      <w:bookmarkStart w:id="2" w:name="_GoBack"/>
      <w:r>
        <w:rPr>
          <w:rFonts w:hint="eastAsia" w:ascii="仿宋" w:hAnsi="仿宋" w:eastAsia="仿宋" w:cs="宋体"/>
          <w:b/>
          <w:sz w:val="30"/>
          <w:szCs w:val="30"/>
          <w:shd w:val="clear" w:color="auto" w:fill="FFFFFF"/>
        </w:rPr>
        <w:t>石城县西外片区污水管网提升改造项目县城区、琴江镇片区劳务服务(编号：GZCX2025-SC-F-G001) 自愿公开招标的中标结果公示变更</w:t>
      </w:r>
      <w:bookmarkEnd w:id="2"/>
    </w:p>
    <w:p>
      <w:pPr>
        <w:pStyle w:val="4"/>
        <w:widowControl/>
        <w:spacing w:line="460" w:lineRule="exact"/>
        <w:ind w:right="92" w:firstLine="560" w:firstLineChars="200"/>
        <w:jc w:val="both"/>
        <w:rPr>
          <w:rFonts w:ascii="仿宋" w:hAnsi="仿宋" w:eastAsia="仿宋"/>
          <w:sz w:val="28"/>
          <w:szCs w:val="28"/>
        </w:rPr>
      </w:pPr>
      <w:r>
        <w:rPr>
          <w:rFonts w:hint="eastAsia" w:ascii="仿宋" w:hAnsi="仿宋" w:eastAsia="仿宋" w:cs="宋体"/>
          <w:color w:val="333333"/>
          <w:sz w:val="28"/>
          <w:szCs w:val="28"/>
        </w:rPr>
        <w:t>石城县西外片区污水管网提升改造项目县城区、琴江镇片区劳务服务实施自愿公开招标选定劳务服务单位。开标会议于</w:t>
      </w:r>
      <w:r>
        <w:rPr>
          <w:rFonts w:ascii="仿宋" w:hAnsi="仿宋" w:eastAsia="仿宋"/>
          <w:color w:val="333333"/>
          <w:sz w:val="28"/>
          <w:szCs w:val="28"/>
        </w:rPr>
        <w:t>202</w:t>
      </w:r>
      <w:r>
        <w:rPr>
          <w:rFonts w:hint="eastAsia" w:ascii="仿宋" w:hAnsi="仿宋" w:eastAsia="仿宋"/>
          <w:color w:val="333333"/>
          <w:sz w:val="28"/>
          <w:szCs w:val="28"/>
        </w:rPr>
        <w:t>5</w:t>
      </w:r>
      <w:r>
        <w:rPr>
          <w:rFonts w:hint="eastAsia" w:ascii="仿宋" w:hAnsi="仿宋" w:eastAsia="仿宋" w:cs="宋体"/>
          <w:color w:val="333333"/>
          <w:sz w:val="28"/>
          <w:szCs w:val="28"/>
        </w:rPr>
        <w:t>年</w:t>
      </w:r>
      <w:r>
        <w:rPr>
          <w:rFonts w:ascii="仿宋" w:hAnsi="仿宋" w:eastAsia="仿宋"/>
          <w:color w:val="333333"/>
          <w:sz w:val="28"/>
          <w:szCs w:val="28"/>
        </w:rPr>
        <w:t>1</w:t>
      </w:r>
      <w:r>
        <w:rPr>
          <w:rFonts w:hint="eastAsia" w:ascii="仿宋" w:hAnsi="仿宋" w:eastAsia="仿宋"/>
          <w:color w:val="333333"/>
          <w:sz w:val="28"/>
          <w:szCs w:val="28"/>
        </w:rPr>
        <w:t>1</w:t>
      </w:r>
      <w:r>
        <w:rPr>
          <w:rFonts w:hint="eastAsia" w:ascii="仿宋" w:hAnsi="仿宋" w:eastAsia="仿宋" w:cs="宋体"/>
          <w:color w:val="333333"/>
          <w:sz w:val="28"/>
          <w:szCs w:val="28"/>
        </w:rPr>
        <w:t>月</w:t>
      </w:r>
      <w:r>
        <w:rPr>
          <w:rFonts w:hint="eastAsia" w:ascii="仿宋" w:hAnsi="仿宋" w:eastAsia="仿宋"/>
          <w:color w:val="333333"/>
          <w:sz w:val="28"/>
          <w:szCs w:val="28"/>
        </w:rPr>
        <w:t>03</w:t>
      </w:r>
      <w:r>
        <w:rPr>
          <w:rFonts w:hint="eastAsia" w:ascii="仿宋" w:hAnsi="仿宋" w:eastAsia="仿宋" w:cs="宋体"/>
          <w:color w:val="333333"/>
          <w:sz w:val="28"/>
          <w:szCs w:val="28"/>
        </w:rPr>
        <w:t>日15时</w:t>
      </w:r>
      <w:r>
        <w:rPr>
          <w:rFonts w:hint="eastAsia" w:ascii="仿宋" w:hAnsi="仿宋" w:eastAsia="仿宋"/>
          <w:color w:val="333333"/>
          <w:sz w:val="28"/>
          <w:szCs w:val="28"/>
        </w:rPr>
        <w:t>0</w:t>
      </w:r>
      <w:r>
        <w:rPr>
          <w:rFonts w:ascii="仿宋" w:hAnsi="仿宋" w:eastAsia="仿宋"/>
          <w:color w:val="333333"/>
          <w:sz w:val="28"/>
          <w:szCs w:val="28"/>
        </w:rPr>
        <w:t>0</w:t>
      </w:r>
      <w:r>
        <w:rPr>
          <w:rFonts w:hint="eastAsia" w:ascii="仿宋" w:hAnsi="仿宋" w:eastAsia="仿宋" w:cs="宋体"/>
          <w:color w:val="333333"/>
          <w:sz w:val="28"/>
          <w:szCs w:val="28"/>
        </w:rPr>
        <w:t>分召开，经评标委员评审，现将中标结果变更及有关事项公示如下：</w:t>
      </w:r>
    </w:p>
    <w:p>
      <w:pPr>
        <w:pStyle w:val="4"/>
        <w:widowControl/>
        <w:spacing w:line="460" w:lineRule="exact"/>
        <w:ind w:right="92"/>
        <w:jc w:val="both"/>
        <w:rPr>
          <w:rFonts w:ascii="仿宋" w:hAnsi="仿宋" w:eastAsia="仿宋" w:cs="宋体"/>
          <w:color w:val="333333"/>
          <w:sz w:val="28"/>
          <w:szCs w:val="28"/>
        </w:rPr>
      </w:pPr>
      <w:r>
        <w:rPr>
          <w:rFonts w:hint="eastAsia" w:ascii="仿宋" w:hAnsi="仿宋" w:eastAsia="仿宋" w:cs="宋体"/>
          <w:color w:val="333333"/>
          <w:sz w:val="28"/>
          <w:szCs w:val="28"/>
        </w:rPr>
        <w:t>一、项目基本情况</w:t>
      </w:r>
    </w:p>
    <w:p>
      <w:pPr>
        <w:pStyle w:val="4"/>
        <w:widowControl/>
        <w:spacing w:line="460" w:lineRule="exact"/>
        <w:ind w:right="92"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项目编号：</w:t>
      </w:r>
      <w:r>
        <w:rPr>
          <w:rFonts w:ascii="仿宋" w:hAnsi="仿宋" w:eastAsia="仿宋" w:cs="宋体"/>
          <w:color w:val="333333"/>
          <w:sz w:val="28"/>
          <w:szCs w:val="28"/>
        </w:rPr>
        <w:t>GZCX2025-SC-F-G001</w:t>
      </w:r>
    </w:p>
    <w:p>
      <w:pPr>
        <w:pStyle w:val="4"/>
        <w:widowControl/>
        <w:spacing w:line="460" w:lineRule="exact"/>
        <w:ind w:right="92"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项目名称：石城县西外片区污水管网提升改造项目县城区、琴江镇片区劳务服务</w:t>
      </w:r>
    </w:p>
    <w:p>
      <w:pPr>
        <w:pStyle w:val="4"/>
        <w:widowControl/>
        <w:spacing w:line="460" w:lineRule="exact"/>
        <w:ind w:right="92"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本项目招标控制价为：约9000000.00元；</w:t>
      </w:r>
    </w:p>
    <w:p>
      <w:pPr>
        <w:pStyle w:val="4"/>
        <w:widowControl/>
        <w:spacing w:line="460" w:lineRule="exact"/>
        <w:ind w:right="92"/>
        <w:jc w:val="both"/>
        <w:rPr>
          <w:rFonts w:ascii="仿宋" w:hAnsi="仿宋" w:eastAsia="仿宋"/>
          <w:sz w:val="28"/>
          <w:szCs w:val="28"/>
        </w:rPr>
      </w:pPr>
      <w:r>
        <w:rPr>
          <w:rFonts w:hint="eastAsia" w:ascii="仿宋" w:hAnsi="仿宋" w:eastAsia="仿宋" w:cs="宋体"/>
          <w:color w:val="333333"/>
          <w:sz w:val="28"/>
          <w:szCs w:val="28"/>
        </w:rPr>
        <w:t>二、</w:t>
      </w:r>
      <w:r>
        <w:rPr>
          <w:rFonts w:hint="eastAsia" w:ascii="仿宋" w:hAnsi="仿宋" w:eastAsia="仿宋"/>
          <w:color w:val="333333"/>
          <w:sz w:val="28"/>
          <w:szCs w:val="28"/>
        </w:rPr>
        <w:t>中标候选人名称及相关内容</w:t>
      </w:r>
      <w:r>
        <w:rPr>
          <w:rFonts w:hint="eastAsia" w:ascii="仿宋" w:hAnsi="仿宋" w:eastAsia="仿宋" w:cs="宋体"/>
          <w:color w:val="333333"/>
          <w:sz w:val="28"/>
          <w:szCs w:val="28"/>
        </w:rPr>
        <w:t>：</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88"/>
        <w:gridCol w:w="3765"/>
        <w:gridCol w:w="1665"/>
        <w:gridCol w:w="1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59" w:hRule="atLeast"/>
          <w:jc w:val="center"/>
        </w:trPr>
        <w:tc>
          <w:tcPr>
            <w:tcW w:w="1588" w:type="dxa"/>
            <w:noWrap/>
            <w:vAlign w:val="center"/>
          </w:tcPr>
          <w:p>
            <w:pPr>
              <w:autoSpaceDE w:val="0"/>
              <w:autoSpaceDN w:val="0"/>
              <w:spacing w:line="460" w:lineRule="exact"/>
              <w:jc w:val="center"/>
              <w:rPr>
                <w:rFonts w:ascii="仿宋" w:hAnsi="仿宋" w:eastAsia="仿宋" w:cs="宋体"/>
                <w:sz w:val="28"/>
                <w:szCs w:val="28"/>
                <w:lang w:val="zh-CN"/>
              </w:rPr>
            </w:pPr>
            <w:r>
              <w:rPr>
                <w:rFonts w:hint="eastAsia" w:ascii="仿宋" w:hAnsi="仿宋" w:eastAsia="仿宋" w:cs="宋体"/>
                <w:sz w:val="28"/>
                <w:szCs w:val="28"/>
                <w:lang w:val="zh-CN"/>
              </w:rPr>
              <w:t>中</w:t>
            </w:r>
            <w:r>
              <w:rPr>
                <w:rFonts w:hint="eastAsia" w:ascii="仿宋" w:hAnsi="仿宋" w:eastAsia="仿宋" w:cs="宋体"/>
                <w:sz w:val="28"/>
                <w:szCs w:val="28"/>
              </w:rPr>
              <w:t>标候选排序</w:t>
            </w:r>
          </w:p>
        </w:tc>
        <w:tc>
          <w:tcPr>
            <w:tcW w:w="3765" w:type="dxa"/>
            <w:noWrap/>
            <w:vAlign w:val="center"/>
          </w:tcPr>
          <w:p>
            <w:pPr>
              <w:autoSpaceDE w:val="0"/>
              <w:autoSpaceDN w:val="0"/>
              <w:spacing w:line="460" w:lineRule="exact"/>
              <w:jc w:val="center"/>
              <w:rPr>
                <w:rFonts w:ascii="仿宋" w:hAnsi="仿宋" w:eastAsia="仿宋" w:cs="宋体"/>
                <w:sz w:val="28"/>
                <w:szCs w:val="28"/>
                <w:lang w:val="zh-CN"/>
              </w:rPr>
            </w:pPr>
            <w:r>
              <w:rPr>
                <w:rFonts w:hint="eastAsia" w:ascii="仿宋" w:hAnsi="仿宋" w:eastAsia="仿宋" w:cs="宋体"/>
                <w:sz w:val="28"/>
                <w:szCs w:val="28"/>
                <w:lang w:val="zh-CN"/>
              </w:rPr>
              <w:t>中</w:t>
            </w:r>
            <w:r>
              <w:rPr>
                <w:rFonts w:hint="eastAsia" w:ascii="仿宋" w:hAnsi="仿宋" w:eastAsia="仿宋" w:cs="宋体"/>
                <w:sz w:val="28"/>
                <w:szCs w:val="28"/>
              </w:rPr>
              <w:t>标候选</w:t>
            </w:r>
            <w:r>
              <w:rPr>
                <w:rFonts w:hint="eastAsia" w:ascii="仿宋" w:hAnsi="仿宋" w:eastAsia="仿宋" w:cs="宋体"/>
                <w:sz w:val="28"/>
                <w:szCs w:val="28"/>
                <w:lang w:val="zh-CN"/>
              </w:rPr>
              <w:t>供应商名称</w:t>
            </w:r>
          </w:p>
        </w:tc>
        <w:tc>
          <w:tcPr>
            <w:tcW w:w="1665" w:type="dxa"/>
            <w:noWrap/>
            <w:vAlign w:val="center"/>
          </w:tcPr>
          <w:p>
            <w:pPr>
              <w:autoSpaceDE w:val="0"/>
              <w:autoSpaceDN w:val="0"/>
              <w:spacing w:line="460" w:lineRule="exact"/>
              <w:jc w:val="center"/>
              <w:rPr>
                <w:rFonts w:ascii="仿宋" w:hAnsi="仿宋" w:eastAsia="仿宋" w:cs="宋体"/>
                <w:sz w:val="28"/>
                <w:szCs w:val="28"/>
                <w:lang w:val="zh-CN"/>
              </w:rPr>
            </w:pPr>
            <w:r>
              <w:rPr>
                <w:rFonts w:hint="eastAsia" w:ascii="仿宋" w:hAnsi="仿宋" w:eastAsia="仿宋" w:cs="宋体"/>
                <w:sz w:val="28"/>
                <w:szCs w:val="28"/>
                <w:lang w:val="zh-CN"/>
              </w:rPr>
              <w:t>中标下浮系数（%）</w:t>
            </w:r>
          </w:p>
        </w:tc>
        <w:tc>
          <w:tcPr>
            <w:tcW w:w="1504" w:type="dxa"/>
            <w:noWrap/>
            <w:vAlign w:val="center"/>
          </w:tcPr>
          <w:p>
            <w:pPr>
              <w:autoSpaceDE w:val="0"/>
              <w:autoSpaceDN w:val="0"/>
              <w:spacing w:line="460" w:lineRule="exact"/>
              <w:jc w:val="center"/>
              <w:rPr>
                <w:rFonts w:ascii="仿宋" w:hAnsi="仿宋" w:eastAsia="仿宋" w:cs="宋体"/>
                <w:sz w:val="28"/>
                <w:szCs w:val="28"/>
              </w:rPr>
            </w:pPr>
            <w:r>
              <w:rPr>
                <w:rFonts w:hint="eastAsia" w:ascii="仿宋" w:hAnsi="仿宋" w:eastAsia="仿宋" w:cs="宋体"/>
                <w:sz w:val="28"/>
                <w:szCs w:val="28"/>
              </w:rPr>
              <w:t>总工期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588" w:type="dxa"/>
            <w:noWrap/>
            <w:vAlign w:val="center"/>
          </w:tcPr>
          <w:p>
            <w:pPr>
              <w:spacing w:line="420" w:lineRule="exact"/>
              <w:jc w:val="center"/>
              <w:rPr>
                <w:rFonts w:ascii="仿宋" w:hAnsi="仿宋" w:eastAsia="仿宋" w:cs="宋体"/>
                <w:sz w:val="28"/>
                <w:szCs w:val="28"/>
              </w:rPr>
            </w:pPr>
            <w:r>
              <w:rPr>
                <w:rFonts w:hint="eastAsia" w:ascii="仿宋" w:hAnsi="仿宋" w:eastAsia="仿宋" w:cs="宋体"/>
                <w:sz w:val="28"/>
                <w:szCs w:val="28"/>
              </w:rPr>
              <w:t>第一</w:t>
            </w:r>
          </w:p>
        </w:tc>
        <w:tc>
          <w:tcPr>
            <w:tcW w:w="3765" w:type="dxa"/>
            <w:noWrap/>
            <w:vAlign w:val="center"/>
          </w:tcPr>
          <w:p>
            <w:pPr>
              <w:spacing w:line="400" w:lineRule="exact"/>
              <w:jc w:val="center"/>
              <w:rPr>
                <w:rFonts w:ascii="仿宋" w:hAnsi="仿宋" w:eastAsia="仿宋" w:cs="宋体"/>
                <w:sz w:val="28"/>
                <w:szCs w:val="28"/>
              </w:rPr>
            </w:pPr>
            <w:r>
              <w:rPr>
                <w:rFonts w:hint="eastAsia" w:ascii="仿宋" w:hAnsi="仿宋" w:eastAsia="仿宋" w:cs="宋体"/>
                <w:sz w:val="28"/>
                <w:szCs w:val="28"/>
              </w:rPr>
              <w:t>/</w:t>
            </w:r>
          </w:p>
        </w:tc>
        <w:tc>
          <w:tcPr>
            <w:tcW w:w="1665" w:type="dxa"/>
            <w:noWrap/>
            <w:vAlign w:val="center"/>
          </w:tcPr>
          <w:p>
            <w:pPr>
              <w:autoSpaceDE w:val="0"/>
              <w:autoSpaceDN w:val="0"/>
              <w:spacing w:line="460" w:lineRule="exact"/>
              <w:jc w:val="center"/>
              <w:rPr>
                <w:rFonts w:ascii="仿宋" w:hAnsi="仿宋" w:eastAsia="仿宋" w:cs="宋体"/>
                <w:sz w:val="28"/>
                <w:szCs w:val="28"/>
              </w:rPr>
            </w:pPr>
            <w:r>
              <w:rPr>
                <w:rFonts w:hint="eastAsia" w:ascii="仿宋" w:hAnsi="仿宋" w:eastAsia="仿宋" w:cs="宋体"/>
                <w:sz w:val="28"/>
                <w:szCs w:val="28"/>
              </w:rPr>
              <w:t>/</w:t>
            </w:r>
          </w:p>
        </w:tc>
        <w:tc>
          <w:tcPr>
            <w:tcW w:w="1504" w:type="dxa"/>
            <w:noWrap/>
            <w:vAlign w:val="center"/>
          </w:tcPr>
          <w:p>
            <w:pPr>
              <w:autoSpaceDE w:val="0"/>
              <w:autoSpaceDN w:val="0"/>
              <w:spacing w:line="460" w:lineRule="exact"/>
              <w:jc w:val="center"/>
              <w:rPr>
                <w:rFonts w:ascii="仿宋" w:hAnsi="仿宋" w:eastAsia="仿宋" w:cs="宋体"/>
                <w:sz w:val="28"/>
                <w:szCs w:val="28"/>
              </w:rPr>
            </w:pPr>
            <w:r>
              <w:rPr>
                <w:rFonts w:hint="eastAsia" w:ascii="仿宋" w:hAnsi="仿宋" w:eastAsia="仿宋" w:cs="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9" w:hRule="atLeast"/>
          <w:jc w:val="center"/>
        </w:trPr>
        <w:tc>
          <w:tcPr>
            <w:tcW w:w="1588" w:type="dxa"/>
            <w:noWrap/>
            <w:vAlign w:val="center"/>
          </w:tcPr>
          <w:p>
            <w:pPr>
              <w:spacing w:line="420" w:lineRule="exact"/>
              <w:jc w:val="center"/>
              <w:rPr>
                <w:rFonts w:ascii="仿宋" w:hAnsi="仿宋" w:eastAsia="仿宋" w:cs="宋体"/>
                <w:sz w:val="28"/>
                <w:szCs w:val="28"/>
              </w:rPr>
            </w:pPr>
            <w:r>
              <w:rPr>
                <w:rFonts w:hint="eastAsia" w:ascii="仿宋" w:hAnsi="仿宋" w:eastAsia="仿宋" w:cs="宋体"/>
                <w:sz w:val="28"/>
                <w:szCs w:val="28"/>
              </w:rPr>
              <w:t>第二</w:t>
            </w:r>
          </w:p>
        </w:tc>
        <w:tc>
          <w:tcPr>
            <w:tcW w:w="3765" w:type="dxa"/>
            <w:noWrap/>
            <w:vAlign w:val="center"/>
          </w:tcPr>
          <w:p>
            <w:pPr>
              <w:spacing w:line="400" w:lineRule="exact"/>
              <w:jc w:val="center"/>
              <w:rPr>
                <w:rFonts w:ascii="仿宋" w:hAnsi="仿宋" w:eastAsia="仿宋" w:cs="宋体"/>
                <w:sz w:val="28"/>
                <w:szCs w:val="28"/>
              </w:rPr>
            </w:pPr>
            <w:r>
              <w:rPr>
                <w:rFonts w:hint="eastAsia" w:ascii="仿宋" w:hAnsi="仿宋" w:eastAsia="仿宋" w:cs="宋体"/>
                <w:sz w:val="28"/>
                <w:szCs w:val="28"/>
              </w:rPr>
              <w:t>江西石屹建筑工程有限公司</w:t>
            </w:r>
          </w:p>
        </w:tc>
        <w:tc>
          <w:tcPr>
            <w:tcW w:w="1665" w:type="dxa"/>
            <w:noWrap/>
            <w:vAlign w:val="center"/>
          </w:tcPr>
          <w:p>
            <w:pPr>
              <w:autoSpaceDE w:val="0"/>
              <w:autoSpaceDN w:val="0"/>
              <w:spacing w:line="460" w:lineRule="exact"/>
              <w:jc w:val="center"/>
              <w:rPr>
                <w:rFonts w:ascii="仿宋" w:hAnsi="仿宋" w:eastAsia="仿宋" w:cs="宋体"/>
                <w:sz w:val="28"/>
                <w:szCs w:val="28"/>
              </w:rPr>
            </w:pPr>
            <w:r>
              <w:rPr>
                <w:rFonts w:hint="eastAsia" w:ascii="仿宋" w:hAnsi="仿宋" w:eastAsia="仿宋" w:cs="宋体"/>
                <w:sz w:val="28"/>
                <w:szCs w:val="28"/>
              </w:rPr>
              <w:t>12</w:t>
            </w:r>
          </w:p>
        </w:tc>
        <w:tc>
          <w:tcPr>
            <w:tcW w:w="1504" w:type="dxa"/>
            <w:noWrap/>
            <w:vAlign w:val="center"/>
          </w:tcPr>
          <w:p>
            <w:pPr>
              <w:autoSpaceDE w:val="0"/>
              <w:autoSpaceDN w:val="0"/>
              <w:spacing w:line="460" w:lineRule="exact"/>
              <w:jc w:val="center"/>
              <w:rPr>
                <w:rFonts w:ascii="仿宋" w:hAnsi="仿宋" w:eastAsia="仿宋" w:cs="宋体"/>
                <w:sz w:val="28"/>
                <w:szCs w:val="28"/>
              </w:rPr>
            </w:pPr>
            <w:r>
              <w:rPr>
                <w:rFonts w:hint="eastAsia" w:ascii="仿宋" w:hAnsi="仿宋" w:eastAsia="仿宋" w:cs="宋体"/>
                <w:sz w:val="28"/>
                <w:szCs w:val="28"/>
              </w:rPr>
              <w:t>300日历天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588" w:type="dxa"/>
            <w:noWrap/>
            <w:vAlign w:val="center"/>
          </w:tcPr>
          <w:p>
            <w:pPr>
              <w:spacing w:line="420" w:lineRule="exact"/>
              <w:jc w:val="center"/>
              <w:rPr>
                <w:rFonts w:ascii="仿宋" w:hAnsi="仿宋" w:eastAsia="仿宋" w:cs="宋体"/>
                <w:sz w:val="28"/>
                <w:szCs w:val="28"/>
              </w:rPr>
            </w:pPr>
            <w:r>
              <w:rPr>
                <w:rFonts w:hint="eastAsia" w:ascii="仿宋" w:hAnsi="仿宋" w:eastAsia="仿宋" w:cs="宋体"/>
                <w:sz w:val="28"/>
                <w:szCs w:val="28"/>
              </w:rPr>
              <w:t>第三</w:t>
            </w:r>
          </w:p>
        </w:tc>
        <w:tc>
          <w:tcPr>
            <w:tcW w:w="3765" w:type="dxa"/>
            <w:noWrap/>
            <w:vAlign w:val="center"/>
          </w:tcPr>
          <w:p>
            <w:pPr>
              <w:spacing w:line="400" w:lineRule="exact"/>
              <w:jc w:val="center"/>
              <w:rPr>
                <w:rFonts w:ascii="仿宋" w:hAnsi="仿宋" w:eastAsia="仿宋" w:cs="宋体"/>
                <w:sz w:val="28"/>
                <w:szCs w:val="28"/>
              </w:rPr>
            </w:pPr>
            <w:r>
              <w:rPr>
                <w:rFonts w:hint="eastAsia" w:ascii="仿宋" w:hAnsi="仿宋" w:eastAsia="仿宋" w:cs="宋体"/>
                <w:sz w:val="28"/>
                <w:szCs w:val="28"/>
              </w:rPr>
              <w:t>江西增添科技有限公司</w:t>
            </w:r>
          </w:p>
        </w:tc>
        <w:tc>
          <w:tcPr>
            <w:tcW w:w="1665" w:type="dxa"/>
            <w:noWrap/>
            <w:vAlign w:val="center"/>
          </w:tcPr>
          <w:p>
            <w:pPr>
              <w:autoSpaceDE w:val="0"/>
              <w:autoSpaceDN w:val="0"/>
              <w:spacing w:line="460" w:lineRule="exact"/>
              <w:jc w:val="center"/>
              <w:rPr>
                <w:rFonts w:ascii="仿宋" w:hAnsi="仿宋" w:eastAsia="仿宋" w:cs="宋体"/>
                <w:sz w:val="28"/>
                <w:szCs w:val="28"/>
              </w:rPr>
            </w:pPr>
            <w:r>
              <w:rPr>
                <w:rFonts w:hint="eastAsia" w:ascii="仿宋" w:hAnsi="仿宋" w:eastAsia="仿宋" w:cs="宋体"/>
                <w:sz w:val="28"/>
                <w:szCs w:val="28"/>
              </w:rPr>
              <w:t>12</w:t>
            </w:r>
          </w:p>
        </w:tc>
        <w:tc>
          <w:tcPr>
            <w:tcW w:w="1504" w:type="dxa"/>
            <w:noWrap/>
            <w:vAlign w:val="center"/>
          </w:tcPr>
          <w:p>
            <w:pPr>
              <w:autoSpaceDE w:val="0"/>
              <w:autoSpaceDN w:val="0"/>
              <w:spacing w:line="460" w:lineRule="exact"/>
              <w:jc w:val="center"/>
              <w:rPr>
                <w:rFonts w:ascii="仿宋" w:hAnsi="仿宋" w:eastAsia="仿宋" w:cs="宋体"/>
                <w:sz w:val="28"/>
                <w:szCs w:val="28"/>
              </w:rPr>
            </w:pPr>
            <w:r>
              <w:rPr>
                <w:rFonts w:hint="eastAsia" w:ascii="仿宋" w:hAnsi="仿宋" w:eastAsia="仿宋" w:cs="宋体"/>
                <w:sz w:val="28"/>
                <w:szCs w:val="28"/>
              </w:rPr>
              <w:t>300日历天</w:t>
            </w:r>
          </w:p>
        </w:tc>
      </w:tr>
    </w:tbl>
    <w:p>
      <w:pPr>
        <w:pStyle w:val="4"/>
        <w:widowControl/>
        <w:spacing w:line="460" w:lineRule="exact"/>
        <w:ind w:right="92"/>
        <w:jc w:val="both"/>
        <w:rPr>
          <w:rFonts w:ascii="仿宋" w:hAnsi="仿宋" w:eastAsia="仿宋"/>
          <w:sz w:val="28"/>
          <w:szCs w:val="28"/>
        </w:rPr>
      </w:pPr>
      <w:r>
        <w:rPr>
          <w:rFonts w:hint="eastAsia" w:ascii="仿宋" w:hAnsi="仿宋" w:eastAsia="仿宋" w:cs="宋体"/>
          <w:color w:val="333333"/>
          <w:sz w:val="28"/>
          <w:szCs w:val="28"/>
        </w:rPr>
        <w:t>三、项目质量要求：本工程的工程质量应符合国家工程质量验收标准合格及招标人要求，中标人应按现行的国家施工验收规范和质量评定标准、施工说明书、设备说明书等技术文件为依据施工。</w:t>
      </w:r>
    </w:p>
    <w:p>
      <w:pPr>
        <w:pStyle w:val="4"/>
        <w:widowControl/>
        <w:spacing w:line="460" w:lineRule="exact"/>
        <w:ind w:right="92"/>
        <w:jc w:val="both"/>
        <w:rPr>
          <w:rFonts w:ascii="仿宋" w:hAnsi="仿宋" w:eastAsia="仿宋"/>
          <w:sz w:val="28"/>
          <w:szCs w:val="28"/>
        </w:rPr>
      </w:pPr>
      <w:r>
        <w:rPr>
          <w:rFonts w:hint="eastAsia" w:ascii="仿宋" w:hAnsi="仿宋" w:eastAsia="仿宋" w:cs="宋体"/>
          <w:color w:val="333333"/>
          <w:sz w:val="28"/>
          <w:szCs w:val="28"/>
        </w:rPr>
        <w:t>四、评标委员会成员名单：</w:t>
      </w:r>
      <w:r>
        <w:rPr>
          <w:rFonts w:hint="eastAsia" w:ascii="仿宋" w:hAnsi="仿宋" w:eastAsia="仿宋" w:cs="宋体"/>
          <w:kern w:val="2"/>
          <w:sz w:val="28"/>
          <w:szCs w:val="28"/>
          <w:u w:val="single"/>
        </w:rPr>
        <w:t>熊国鑫（组长）、温远畴、刘斌、陈庆庚、吴正明</w:t>
      </w:r>
      <w:r>
        <w:rPr>
          <w:rFonts w:hint="eastAsia" w:ascii="仿宋" w:hAnsi="仿宋" w:eastAsia="仿宋" w:cs="宋体"/>
          <w:color w:val="333333"/>
          <w:sz w:val="28"/>
          <w:szCs w:val="28"/>
        </w:rPr>
        <w:t>；</w:t>
      </w:r>
    </w:p>
    <w:p>
      <w:pPr>
        <w:pStyle w:val="4"/>
        <w:widowControl/>
        <w:spacing w:line="460" w:lineRule="exact"/>
        <w:ind w:right="92"/>
        <w:jc w:val="both"/>
        <w:rPr>
          <w:rFonts w:ascii="仿宋" w:hAnsi="仿宋" w:eastAsia="仿宋" w:cs="宋体"/>
          <w:b/>
          <w:color w:val="333333"/>
          <w:sz w:val="28"/>
          <w:szCs w:val="28"/>
        </w:rPr>
      </w:pPr>
      <w:r>
        <w:rPr>
          <w:rFonts w:hint="eastAsia" w:ascii="仿宋" w:hAnsi="仿宋" w:eastAsia="仿宋" w:cs="宋体"/>
          <w:b/>
          <w:color w:val="333333"/>
          <w:sz w:val="28"/>
          <w:szCs w:val="28"/>
        </w:rPr>
        <w:t>五、原中标候选人废标原因及其依据</w:t>
      </w:r>
    </w:p>
    <w:tbl>
      <w:tblPr>
        <w:tblStyle w:val="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376"/>
        <w:gridCol w:w="614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376" w:type="dxa"/>
            <w:vAlign w:val="center"/>
          </w:tcPr>
          <w:p>
            <w:pPr>
              <w:pStyle w:val="4"/>
              <w:widowControl/>
              <w:spacing w:line="460" w:lineRule="exact"/>
              <w:ind w:right="92"/>
              <w:jc w:val="center"/>
              <w:rPr>
                <w:rFonts w:ascii="仿宋" w:hAnsi="仿宋" w:eastAsia="仿宋"/>
                <w:b/>
                <w:sz w:val="28"/>
                <w:szCs w:val="28"/>
              </w:rPr>
            </w:pPr>
            <w:r>
              <w:rPr>
                <w:rFonts w:hint="eastAsia" w:ascii="仿宋" w:hAnsi="仿宋" w:eastAsia="仿宋"/>
                <w:b/>
                <w:sz w:val="28"/>
                <w:szCs w:val="28"/>
              </w:rPr>
              <w:t>单位名称</w:t>
            </w:r>
          </w:p>
        </w:tc>
        <w:tc>
          <w:tcPr>
            <w:tcW w:w="6146" w:type="dxa"/>
          </w:tcPr>
          <w:p>
            <w:pPr>
              <w:pStyle w:val="4"/>
              <w:widowControl/>
              <w:spacing w:line="460" w:lineRule="exact"/>
              <w:ind w:right="92"/>
              <w:jc w:val="both"/>
              <w:rPr>
                <w:rFonts w:ascii="仿宋" w:hAnsi="仿宋" w:eastAsia="仿宋"/>
                <w:sz w:val="28"/>
                <w:szCs w:val="28"/>
              </w:rPr>
            </w:pPr>
            <w:r>
              <w:rPr>
                <w:rFonts w:hint="eastAsia" w:ascii="仿宋" w:hAnsi="仿宋" w:eastAsia="仿宋"/>
                <w:sz w:val="28"/>
                <w:szCs w:val="28"/>
              </w:rPr>
              <w:t>石城县茂弘建筑工程有限公司</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376" w:type="dxa"/>
            <w:vAlign w:val="center"/>
          </w:tcPr>
          <w:p>
            <w:pPr>
              <w:pStyle w:val="4"/>
              <w:widowControl/>
              <w:spacing w:line="460" w:lineRule="exact"/>
              <w:ind w:right="92"/>
              <w:jc w:val="center"/>
              <w:rPr>
                <w:rFonts w:ascii="仿宋" w:hAnsi="仿宋" w:eastAsia="仿宋"/>
                <w:b/>
                <w:sz w:val="28"/>
                <w:szCs w:val="28"/>
              </w:rPr>
            </w:pPr>
            <w:r>
              <w:rPr>
                <w:rFonts w:hint="eastAsia" w:ascii="仿宋" w:hAnsi="仿宋" w:eastAsia="仿宋"/>
                <w:b/>
                <w:sz w:val="28"/>
                <w:szCs w:val="28"/>
              </w:rPr>
              <w:t>废标原因</w:t>
            </w:r>
          </w:p>
        </w:tc>
        <w:tc>
          <w:tcPr>
            <w:tcW w:w="6146" w:type="dxa"/>
          </w:tcPr>
          <w:p>
            <w:pPr>
              <w:pStyle w:val="4"/>
              <w:widowControl/>
              <w:spacing w:line="460" w:lineRule="exact"/>
              <w:ind w:right="92"/>
              <w:jc w:val="both"/>
              <w:rPr>
                <w:rFonts w:ascii="仿宋" w:hAnsi="仿宋" w:eastAsia="仿宋"/>
                <w:b/>
                <w:sz w:val="28"/>
                <w:szCs w:val="28"/>
              </w:rPr>
            </w:pPr>
            <w:r>
              <w:rPr>
                <w:rFonts w:hint="eastAsia" w:ascii="仿宋" w:hAnsi="仿宋" w:eastAsia="仿宋" w:cs="宋体"/>
                <w:color w:val="333333"/>
                <w:sz w:val="28"/>
                <w:szCs w:val="28"/>
              </w:rPr>
              <w:t>石城县西外片区污水管网提升改造项目县城区、琴江镇片区劳务服务自愿</w:t>
            </w:r>
            <w:r>
              <w:rPr>
                <w:rFonts w:hint="eastAsia" w:ascii="仿宋_GB2312" w:eastAsia="仿宋_GB2312"/>
                <w:color w:val="333333"/>
                <w:sz w:val="28"/>
                <w:szCs w:val="28"/>
                <w:shd w:val="clear" w:color="auto" w:fill="FFFFFF"/>
              </w:rPr>
              <w:t>公开招标于2025年11月03日开标，</w:t>
            </w:r>
            <w:bookmarkStart w:id="0" w:name="OLE_LINK1"/>
            <w:bookmarkStart w:id="1" w:name="OLE_LINK2"/>
            <w:r>
              <w:rPr>
                <w:rFonts w:hint="eastAsia" w:ascii="仿宋_GB2312" w:eastAsia="仿宋_GB2312"/>
                <w:color w:val="333333"/>
                <w:sz w:val="28"/>
                <w:szCs w:val="28"/>
                <w:shd w:val="clear" w:color="auto" w:fill="FFFFFF"/>
              </w:rPr>
              <w:t>2025年11月04日</w:t>
            </w:r>
            <w:bookmarkEnd w:id="0"/>
            <w:bookmarkEnd w:id="1"/>
            <w:r>
              <w:rPr>
                <w:rFonts w:hint="eastAsia" w:ascii="仿宋_GB2312" w:eastAsia="仿宋_GB2312"/>
                <w:color w:val="333333"/>
                <w:sz w:val="28"/>
                <w:szCs w:val="28"/>
                <w:shd w:val="clear" w:color="auto" w:fill="FFFFFF"/>
              </w:rPr>
              <w:t>发布中标候选人公示，2025年11月10日收到投诉反映石城县茂弘建筑工程有限公司</w:t>
            </w:r>
            <w:r>
              <w:rPr>
                <w:rFonts w:hint="eastAsia" w:ascii="仿宋" w:hAnsi="仿宋" w:eastAsia="仿宋"/>
                <w:sz w:val="28"/>
                <w:szCs w:val="28"/>
              </w:rPr>
              <w:t>无有效的《安全生产许可证》</w:t>
            </w:r>
            <w:r>
              <w:rPr>
                <w:rFonts w:hint="eastAsia" w:ascii="仿宋_GB2312" w:eastAsia="仿宋_GB2312"/>
                <w:color w:val="333333"/>
                <w:sz w:val="28"/>
                <w:szCs w:val="28"/>
                <w:shd w:val="clear" w:color="auto" w:fill="FFFFFF"/>
              </w:rPr>
              <w:t>。经核实投诉事项成立，招标人决定取消石城县茂弘建筑工程有限公司第一中标候选人资格。</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376" w:type="dxa"/>
            <w:vAlign w:val="center"/>
          </w:tcPr>
          <w:p>
            <w:pPr>
              <w:pStyle w:val="4"/>
              <w:widowControl/>
              <w:spacing w:line="460" w:lineRule="exact"/>
              <w:ind w:right="92"/>
              <w:jc w:val="center"/>
              <w:rPr>
                <w:rFonts w:ascii="仿宋" w:hAnsi="仿宋" w:eastAsia="仿宋"/>
                <w:b/>
                <w:sz w:val="28"/>
                <w:szCs w:val="28"/>
              </w:rPr>
            </w:pPr>
            <w:r>
              <w:rPr>
                <w:rFonts w:hint="eastAsia" w:ascii="仿宋_GB2312" w:eastAsia="仿宋_GB2312"/>
                <w:b/>
                <w:color w:val="333333"/>
                <w:sz w:val="28"/>
                <w:szCs w:val="28"/>
                <w:shd w:val="clear" w:color="auto" w:fill="FFFFFF"/>
              </w:rPr>
              <w:t>认定依据</w:t>
            </w:r>
          </w:p>
        </w:tc>
        <w:tc>
          <w:tcPr>
            <w:tcW w:w="6146" w:type="dxa"/>
          </w:tcPr>
          <w:p>
            <w:pPr>
              <w:pStyle w:val="4"/>
              <w:widowControl/>
              <w:spacing w:line="460" w:lineRule="exact"/>
              <w:ind w:right="92"/>
              <w:jc w:val="both"/>
              <w:rPr>
                <w:rFonts w:ascii="仿宋" w:hAnsi="仿宋" w:eastAsia="仿宋"/>
                <w:b/>
                <w:sz w:val="28"/>
                <w:szCs w:val="28"/>
              </w:rPr>
            </w:pPr>
            <w:r>
              <w:rPr>
                <w:rFonts w:hint="eastAsia" w:ascii="仿宋_GB2312" w:eastAsia="仿宋_GB2312"/>
                <w:color w:val="333333"/>
                <w:sz w:val="28"/>
                <w:szCs w:val="28"/>
                <w:shd w:val="clear" w:color="auto" w:fill="FFFFFF"/>
              </w:rPr>
              <w:t>根据招标文件第57页第6条“中标候选人因不可抗力不能履行合同、不按照招标文件的要求提交履约保证金或者被查实存在影响中标结果的违法行为等情形及经考察核实不合格，不符合中标条件的，招标人可以按照评标委员会推荐的中标候选人排序名单依次考察核实后确定其他中标候选人为中标人，也可重新组织招标。”</w:t>
            </w:r>
          </w:p>
        </w:tc>
      </w:tr>
    </w:tbl>
    <w:p>
      <w:pPr>
        <w:pStyle w:val="4"/>
        <w:widowControl/>
        <w:spacing w:line="460" w:lineRule="exact"/>
        <w:ind w:right="92"/>
        <w:jc w:val="both"/>
        <w:rPr>
          <w:rFonts w:ascii="仿宋" w:hAnsi="仿宋" w:eastAsia="仿宋" w:cs="宋体"/>
          <w:color w:val="333333"/>
          <w:sz w:val="28"/>
          <w:szCs w:val="28"/>
        </w:rPr>
      </w:pPr>
      <w:r>
        <w:rPr>
          <w:rFonts w:hint="eastAsia" w:ascii="仿宋" w:hAnsi="仿宋" w:eastAsia="仿宋" w:cs="宋体"/>
          <w:color w:val="333333"/>
          <w:sz w:val="28"/>
          <w:szCs w:val="28"/>
        </w:rPr>
        <w:t>六、现予以公示，接受社会监督，公示期内，投标人和其他利害关系人有权向招标人提出疑义。本项目公告进行公示1个工作日，经公示且无异议或投诉后，招标人依法确定第二中标候选人（第二中标排序人）为中标人。</w:t>
      </w:r>
    </w:p>
    <w:p>
      <w:pPr>
        <w:pStyle w:val="4"/>
        <w:widowControl/>
        <w:spacing w:line="460" w:lineRule="exact"/>
        <w:ind w:right="92"/>
        <w:jc w:val="both"/>
        <w:rPr>
          <w:rFonts w:ascii="仿宋" w:hAnsi="仿宋" w:eastAsia="仿宋" w:cs="宋体"/>
          <w:color w:val="333333"/>
          <w:sz w:val="28"/>
          <w:szCs w:val="28"/>
        </w:rPr>
      </w:pPr>
      <w:r>
        <w:rPr>
          <w:rFonts w:hint="eastAsia" w:ascii="仿宋" w:hAnsi="仿宋" w:eastAsia="仿宋" w:cs="宋体"/>
          <w:color w:val="333333"/>
          <w:sz w:val="28"/>
          <w:szCs w:val="28"/>
        </w:rPr>
        <w:t>七、对本次招标提出询问，请按以下方式联系</w:t>
      </w:r>
    </w:p>
    <w:p>
      <w:pPr>
        <w:pStyle w:val="4"/>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1.招标人信息</w:t>
      </w:r>
    </w:p>
    <w:p>
      <w:pPr>
        <w:pStyle w:val="4"/>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名称：石城县泰通路桥工程有限公司</w:t>
      </w:r>
    </w:p>
    <w:p>
      <w:pPr>
        <w:pStyle w:val="4"/>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地址：江西省赣州市石城县工业二路工交企业六楼</w:t>
      </w:r>
    </w:p>
    <w:p>
      <w:pPr>
        <w:pStyle w:val="4"/>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联系人、联系方式：吴先生0797-2971556</w:t>
      </w:r>
    </w:p>
    <w:p>
      <w:pPr>
        <w:pStyle w:val="4"/>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2.招标代理机构信息</w:t>
      </w:r>
    </w:p>
    <w:p>
      <w:pPr>
        <w:pStyle w:val="4"/>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名称：赣州常兴项目咨询管理有限公司　　</w:t>
      </w:r>
    </w:p>
    <w:p>
      <w:pPr>
        <w:pStyle w:val="4"/>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地址：江西省赣州市石城县琴江镇　</w:t>
      </w:r>
    </w:p>
    <w:p>
      <w:pPr>
        <w:pStyle w:val="4"/>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邮箱：365877850@qq.com</w:t>
      </w:r>
    </w:p>
    <w:p>
      <w:pPr>
        <w:pStyle w:val="4"/>
        <w:widowControl/>
        <w:spacing w:line="460" w:lineRule="exact"/>
        <w:ind w:left="150" w:right="92" w:firstLine="465"/>
        <w:rPr>
          <w:rFonts w:ascii="仿宋" w:hAnsi="仿宋" w:eastAsia="仿宋" w:cs="宋体"/>
          <w:color w:val="333333"/>
          <w:sz w:val="28"/>
          <w:szCs w:val="28"/>
        </w:rPr>
      </w:pPr>
      <w:r>
        <w:rPr>
          <w:rFonts w:hint="eastAsia" w:ascii="仿宋" w:hAnsi="仿宋" w:eastAsia="仿宋" w:cs="宋体"/>
          <w:color w:val="333333"/>
          <w:sz w:val="28"/>
          <w:szCs w:val="28"/>
        </w:rPr>
        <w:t>项目联系人：刘工</w:t>
      </w:r>
    </w:p>
    <w:p>
      <w:pPr>
        <w:pStyle w:val="4"/>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电话：18279750116</w:t>
      </w:r>
    </w:p>
    <w:p>
      <w:pPr>
        <w:pStyle w:val="4"/>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3.投诉举报受理单位:</w:t>
      </w:r>
    </w:p>
    <w:p>
      <w:pPr>
        <w:pStyle w:val="4"/>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名 称:石城县工交企业派驻纪检组</w:t>
      </w:r>
    </w:p>
    <w:p>
      <w:pPr>
        <w:pStyle w:val="4"/>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联系电话：0797-5793772</w:t>
      </w:r>
    </w:p>
    <w:p>
      <w:pPr>
        <w:pStyle w:val="4"/>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名 称:石城县国有资产服务中心</w:t>
      </w:r>
    </w:p>
    <w:p>
      <w:pPr>
        <w:pStyle w:val="4"/>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投诉联系人:章剑辉</w:t>
      </w:r>
    </w:p>
    <w:p>
      <w:pPr>
        <w:pStyle w:val="4"/>
        <w:widowControl/>
        <w:spacing w:line="460" w:lineRule="exact"/>
        <w:ind w:left="150" w:right="92" w:firstLine="465"/>
        <w:jc w:val="both"/>
        <w:rPr>
          <w:rFonts w:ascii="仿宋" w:hAnsi="仿宋" w:eastAsia="仿宋" w:cs="宋体"/>
          <w:color w:val="333333"/>
          <w:sz w:val="28"/>
          <w:szCs w:val="28"/>
        </w:rPr>
      </w:pPr>
      <w:r>
        <w:rPr>
          <w:rFonts w:hint="eastAsia" w:ascii="仿宋" w:hAnsi="仿宋" w:eastAsia="仿宋" w:cs="宋体"/>
          <w:color w:val="333333"/>
          <w:sz w:val="28"/>
          <w:szCs w:val="28"/>
        </w:rPr>
        <w:t>联系电话:0797-5712037、18079770006</w:t>
      </w:r>
    </w:p>
    <w:p>
      <w:pPr>
        <w:overflowPunct w:val="0"/>
        <w:topLinePunct/>
        <w:spacing w:line="440" w:lineRule="exact"/>
        <w:ind w:firstLine="480" w:firstLineChars="200"/>
        <w:rPr>
          <w:rFonts w:asciiTheme="minorEastAsia" w:hAnsiTheme="minorEastAsia"/>
          <w:sz w:val="24"/>
        </w:rPr>
      </w:pPr>
    </w:p>
    <w:p>
      <w:pPr>
        <w:pStyle w:val="4"/>
        <w:widowControl/>
        <w:spacing w:line="600" w:lineRule="atLeast"/>
        <w:ind w:left="150" w:right="92" w:firstLine="465"/>
        <w:jc w:val="right"/>
        <w:rPr>
          <w:rFonts w:ascii="仿宋" w:hAnsi="仿宋" w:eastAsia="仿宋" w:cs="宋体"/>
          <w:color w:val="333333"/>
          <w:sz w:val="28"/>
          <w:szCs w:val="28"/>
        </w:rPr>
      </w:pPr>
      <w:r>
        <w:rPr>
          <w:rFonts w:hint="eastAsia" w:ascii="仿宋" w:hAnsi="仿宋" w:eastAsia="仿宋" w:cs="宋体"/>
          <w:color w:val="333333"/>
          <w:sz w:val="28"/>
          <w:szCs w:val="28"/>
        </w:rPr>
        <w:t>石城县泰通路桥工程有限公司</w:t>
      </w:r>
    </w:p>
    <w:p>
      <w:pPr>
        <w:pStyle w:val="4"/>
        <w:widowControl/>
        <w:spacing w:line="600" w:lineRule="atLeast"/>
        <w:ind w:left="150" w:right="92" w:firstLine="465"/>
        <w:jc w:val="center"/>
        <w:rPr>
          <w:rFonts w:cs="宋体" w:asciiTheme="minorEastAsia" w:hAnsiTheme="minorEastAsia"/>
        </w:rPr>
      </w:pPr>
      <w:r>
        <w:rPr>
          <w:rFonts w:hint="eastAsia" w:ascii="仿宋" w:hAnsi="仿宋" w:eastAsia="仿宋" w:cs="宋体"/>
          <w:color w:val="333333"/>
          <w:sz w:val="28"/>
          <w:szCs w:val="28"/>
          <w:lang w:val="en-US" w:eastAsia="zh-CN"/>
        </w:rPr>
        <w:t xml:space="preserve">                            </w:t>
      </w:r>
      <w:r>
        <w:rPr>
          <w:rFonts w:hint="eastAsia" w:ascii="仿宋" w:hAnsi="仿宋" w:eastAsia="仿宋" w:cs="宋体"/>
          <w:color w:val="333333"/>
          <w:sz w:val="28"/>
          <w:szCs w:val="28"/>
        </w:rPr>
        <w:t>2025年11月</w:t>
      </w:r>
      <w:r>
        <w:rPr>
          <w:rFonts w:hint="eastAsia" w:ascii="仿宋" w:hAnsi="仿宋" w:eastAsia="仿宋" w:cs="宋体"/>
          <w:color w:val="333333"/>
          <w:sz w:val="28"/>
          <w:szCs w:val="28"/>
          <w:lang w:val="en-US" w:eastAsia="zh-CN"/>
        </w:rPr>
        <w:t>14</w:t>
      </w:r>
      <w:r>
        <w:rPr>
          <w:rFonts w:hint="eastAsia" w:ascii="仿宋" w:hAnsi="仿宋" w:eastAsia="仿宋" w:cs="宋体"/>
          <w:color w:val="333333"/>
          <w:sz w:val="28"/>
          <w:szCs w:val="28"/>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9DC"/>
    <w:rsid w:val="00193788"/>
    <w:rsid w:val="001C6880"/>
    <w:rsid w:val="004009DC"/>
    <w:rsid w:val="00494B50"/>
    <w:rsid w:val="004F1BD7"/>
    <w:rsid w:val="004F664C"/>
    <w:rsid w:val="005447D5"/>
    <w:rsid w:val="005E09CF"/>
    <w:rsid w:val="007C1090"/>
    <w:rsid w:val="00851D7E"/>
    <w:rsid w:val="00B310B3"/>
    <w:rsid w:val="00B72C68"/>
    <w:rsid w:val="18C83CBD"/>
    <w:rsid w:val="64611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jc w:val="left"/>
    </w:pPr>
    <w:rPr>
      <w:rFonts w:cs="Times New Roman"/>
      <w:kern w:val="0"/>
      <w:sz w:val="24"/>
    </w:rPr>
  </w:style>
  <w:style w:type="table" w:styleId="6">
    <w:name w:val="Table Grid"/>
    <w:basedOn w:val="5"/>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3"/>
    <w:semiHidden/>
    <w:uiPriority w:val="99"/>
    <w:rPr>
      <w:sz w:val="18"/>
      <w:szCs w:val="18"/>
    </w:rPr>
  </w:style>
  <w:style w:type="character" w:customStyle="1" w:styleId="9">
    <w:name w:val="页脚 Char"/>
    <w:basedOn w:val="7"/>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1074</Words>
  <Characters>1224</Characters>
  <Lines>9</Lines>
  <Paragraphs>2</Paragraphs>
  <TotalTime>23</TotalTime>
  <ScaleCrop>false</ScaleCrop>
  <LinksUpToDate>false</LinksUpToDate>
  <CharactersWithSpaces>1230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2025-11-13T05:21:00Z</dcterms:created>
  <dc:creator>微软用户</dc:creator>
  <cp:lastModifiedBy>Administrator</cp:lastModifiedBy>
  <dcterms:modified xsi:type="dcterms:W3CDTF">2025-11-14T09:47:02Z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eyJoZGlkIjoiMzZhMGYyMWNmZDhjNzZlNjJiNmY0NWU3OTg1NjMwYjQiLCJ1c2VySWQiOiIzNjI3ODE3NzMifQ==</vt:lpwstr>
  </property>
  <property fmtid="{D5CDD505-2E9C-101B-9397-08002B2CF9AE}" pid="3" name="KSOProductBuildVer">
    <vt:lpwstr>2052-11.8.2.9022</vt:lpwstr>
  </property>
  <property fmtid="{D5CDD505-2E9C-101B-9397-08002B2CF9AE}" pid="4" name="ICV">
    <vt:lpwstr>8546DE0E38394C889236CDFF166A299D_13</vt:lpwstr>
  </property>
</Properties>
</file>