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  <w:lang w:eastAsia="zh-CN"/>
        </w:rPr>
        <w:t>石城县教育体育局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  <w:t>024年上半年工作总结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  <w:lang w:eastAsia="zh-CN"/>
        </w:rPr>
        <w:t>及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</w:rPr>
        <w:t>下半年工作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  <w:lang w:eastAsia="zh-CN"/>
        </w:rPr>
        <w:t>打算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00000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napToGrid w:val="0"/>
          <w:color w:val="000000"/>
          <w:sz w:val="32"/>
        </w:rPr>
      </w:pP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2024</w:t>
      </w:r>
      <w:r>
        <w:rPr>
          <w:rFonts w:hint="eastAsia" w:ascii="仿宋_GB2312" w:eastAsia="仿宋_GB2312"/>
          <w:snapToGrid w:val="0"/>
          <w:color w:val="000000"/>
          <w:sz w:val="32"/>
        </w:rPr>
        <w:t>年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以来</w:t>
      </w:r>
      <w:r>
        <w:rPr>
          <w:rFonts w:hint="eastAsia" w:ascii="仿宋_GB2312" w:eastAsia="仿宋_GB2312"/>
          <w:snapToGrid w:val="0"/>
          <w:color w:val="000000"/>
          <w:sz w:val="32"/>
        </w:rPr>
        <w:t>，石城县教体局紧紧围绕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县</w:t>
      </w:r>
      <w:r>
        <w:rPr>
          <w:rFonts w:hint="eastAsia" w:ascii="仿宋_GB2312" w:eastAsia="仿宋_GB2312"/>
          <w:snapToGrid w:val="0"/>
          <w:color w:val="000000"/>
          <w:sz w:val="32"/>
        </w:rPr>
        <w:t>委、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县</w:t>
      </w:r>
      <w:r>
        <w:rPr>
          <w:rFonts w:hint="eastAsia" w:ascii="仿宋_GB2312" w:eastAsia="仿宋_GB2312"/>
          <w:snapToGrid w:val="0"/>
          <w:color w:val="000000"/>
          <w:sz w:val="32"/>
        </w:rPr>
        <w:t>政府统一部署和教育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体育</w:t>
      </w:r>
      <w:r>
        <w:rPr>
          <w:rFonts w:hint="eastAsia" w:ascii="仿宋_GB2312" w:eastAsia="仿宋_GB2312"/>
          <w:snapToGrid w:val="0"/>
          <w:color w:val="000000"/>
          <w:sz w:val="32"/>
        </w:rPr>
        <w:t>工作任务，以办人民满意教育为根本宗旨，聚焦“走在前、勇争先、善作为”目标,坚决贯彻“大抓落实年”部署要求,强化协调联动,倒排工期、压实责任、迎难而上,各项工作有序推进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，</w:t>
      </w:r>
      <w:r>
        <w:rPr>
          <w:rFonts w:hint="eastAsia" w:ascii="仿宋_GB2312" w:eastAsia="仿宋_GB2312"/>
          <w:snapToGrid w:val="0"/>
          <w:color w:val="000000"/>
          <w:sz w:val="32"/>
        </w:rPr>
        <w:t>全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县</w:t>
      </w:r>
      <w:r>
        <w:rPr>
          <w:rFonts w:hint="eastAsia" w:ascii="仿宋_GB2312" w:eastAsia="仿宋_GB2312"/>
          <w:snapToGrid w:val="0"/>
          <w:color w:val="000000"/>
          <w:sz w:val="32"/>
        </w:rPr>
        <w:t>教育体育工作取得新成效。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color w:val="000000"/>
          <w:sz w:val="32"/>
          <w:szCs w:val="32"/>
        </w:rPr>
        <w:t>一、上半年工作</w:t>
      </w:r>
      <w:r>
        <w:rPr>
          <w:rFonts w:hint="eastAsia" w:ascii="黑体" w:hAnsi="黑体" w:eastAsia="黑体" w:cs="黑体"/>
          <w:snapToGrid w:val="0"/>
          <w:color w:val="000000"/>
          <w:sz w:val="32"/>
          <w:szCs w:val="32"/>
          <w:lang w:eastAsia="zh-CN"/>
        </w:rPr>
        <w:t>做法及成效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0" w:lineRule="exact"/>
        <w:ind w:firstLine="643" w:firstLineChars="200"/>
        <w:jc w:val="both"/>
        <w:textAlignment w:val="auto"/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（一）聚焦党建赋能，党的建设全面加强。</w:t>
      </w:r>
      <w:r>
        <w:rPr>
          <w:rFonts w:ascii="仿宋_GB2312" w:eastAsia="仿宋_GB2312"/>
          <w:snapToGrid w:val="0"/>
          <w:color w:val="000000"/>
          <w:sz w:val="32"/>
        </w:rPr>
        <w:t>理论武装建设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不断加强</w:t>
      </w:r>
      <w:r>
        <w:rPr>
          <w:rFonts w:ascii="仿宋_GB2312" w:eastAsia="仿宋_GB2312"/>
          <w:snapToGrid w:val="0"/>
          <w:color w:val="000000"/>
          <w:sz w:val="32"/>
        </w:rPr>
        <w:t>，</w:t>
      </w: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局党组开展理论学习中心组活动6次</w:t>
      </w:r>
      <w:r>
        <w:rPr>
          <w:rFonts w:ascii="仿宋_GB2312" w:eastAsia="仿宋_GB2312"/>
          <w:snapToGrid w:val="0"/>
          <w:color w:val="000000"/>
          <w:sz w:val="32"/>
        </w:rPr>
        <w:t>。</w:t>
      </w: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开展2023年度全县教体系统党组织书记抓基层党建述职评议考核</w:t>
      </w:r>
      <w:r>
        <w:rPr>
          <w:rFonts w:ascii="仿宋_GB2312" w:eastAsia="仿宋_GB2312"/>
          <w:snapToGrid w:val="0"/>
          <w:color w:val="000000"/>
          <w:sz w:val="32"/>
        </w:rPr>
        <w:t>，提升制度落实力度。稳步推</w:t>
      </w:r>
      <w:r>
        <w:rPr>
          <w:rFonts w:ascii="仿宋_GB2312" w:hAnsi="宋体" w:eastAsia="仿宋_GB2312"/>
          <w:snapToGrid w:val="0"/>
          <w:color w:val="000000"/>
          <w:sz w:val="32"/>
        </w:rPr>
        <w:t>进中小学校党组织领导的校长负责制建设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。</w:t>
      </w:r>
      <w:r>
        <w:rPr>
          <w:rFonts w:ascii="仿宋_GB2312" w:hAnsi="宋体" w:eastAsia="仿宋_GB2312"/>
          <w:snapToGrid w:val="0"/>
          <w:color w:val="000000"/>
          <w:sz w:val="32"/>
        </w:rPr>
        <w:t>落实意识形态工作责任制，分析研判全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县</w:t>
      </w:r>
      <w:r>
        <w:rPr>
          <w:rFonts w:ascii="仿宋_GB2312" w:hAnsi="宋体" w:eastAsia="仿宋_GB2312"/>
          <w:snapToGrid w:val="0"/>
          <w:color w:val="000000"/>
          <w:sz w:val="32"/>
        </w:rPr>
        <w:t>教体系统意识形态领域风险2次，下发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风险隐患提示6期</w:t>
      </w:r>
      <w:r>
        <w:rPr>
          <w:rFonts w:ascii="仿宋_GB2312" w:hAnsi="宋体" w:eastAsia="仿宋_GB2312"/>
          <w:snapToGrid w:val="0"/>
          <w:color w:val="000000"/>
          <w:sz w:val="32"/>
        </w:rPr>
        <w:t>。</w:t>
      </w: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扎实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-US" w:eastAsia="zh-CN"/>
        </w:rPr>
        <w:t>推进省委巡视赣州反馈意见整改工作</w:t>
      </w: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，深入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-US" w:eastAsia="zh-CN"/>
        </w:rPr>
        <w:t>开展全县基础教育领域不正之风和腐败问题专项治理。扎实开展党纪学习教育，制定学习教育计划安排表，检视查摆问题</w:t>
      </w: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，局领导班子成员上纪律党课3节，组织观看警示教育片3次。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（二）聚焦优质均衡，教育发展更显有力。</w:t>
      </w: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争取校建资金6368.71万元（含设备购置），县职校二部、西城体育中心项目建设和城南中小学前期工作有序推进，小松中学等22所学校及县幼儿园等18个公立幼儿园维修改造项目（含设备采购）有序实施。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推进全县优化农村义务教育资源配置工作，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春季学期已优化学校5所，涉及学生13人、教师6人，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涉及有优化任务的9个乡镇均已召开听证会。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遴选4家研学实践企业进入本县中小学研学实践活动范围，全县中小学研学实践活动进一步规范。</w:t>
      </w:r>
      <w:r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石城中学与南昌二中、莲塘一中等学校开展战略帮扶，借助名校优质资源助力县域高中发展。2024年高考，截至目前统计，600分以上人数49人，本科上线1191人（不含艺体考生），2人有望冲击清北。成功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举办全县“五育并举”暨读书活动成果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展示交流会，充分展示“五育”阶段性成果。县职校50名教师被省教育厅评为“双师型”教师，产教融合不断深化。以点带面整体推进家庭教育工作，全县累计开展家访43588人</w:t>
      </w:r>
      <w:r>
        <w:rPr>
          <w:rFonts w:hint="eastAsia" w:ascii="仿宋_GB2312" w:hAnsi="仿宋_GB2312" w:eastAsia="仿宋_GB2312" w:cs="仿宋_GB2312"/>
          <w:sz w:val="32"/>
          <w:szCs w:val="32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举办校家社共育成果展暨家庭教育指导师资示范培训班结业典礼，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所“</w:t>
      </w:r>
      <w:r>
        <w:rPr>
          <w:rFonts w:hint="eastAsia" w:ascii="仿宋_GB2312" w:hAnsi="仿宋_GB2312" w:eastAsia="仿宋_GB2312" w:cs="仿宋_GB2312"/>
          <w:sz w:val="32"/>
          <w:szCs w:val="32"/>
        </w:rPr>
        <w:t>首届校家社共育示范校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向农村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薄弱学校推送专递课堂60余节，参加省市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信息提升实践活动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2名学生分别获省级一、二等奖，3名学生获市级一等奖。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（三）聚焦强师育才，队伍建设不断加强。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z w:val="32"/>
          <w:lang w:eastAsia="zh-CN"/>
        </w:rPr>
        <w:t>持续开展全系统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z w:val="32"/>
          <w:lang w:val="en-US" w:eastAsia="zh-CN"/>
        </w:rPr>
        <w:t xml:space="preserve"> “三项整治”活动，加强师德师风建设。</w:t>
      </w:r>
      <w:r>
        <w:rPr>
          <w:rFonts w:hint="eastAsia" w:ascii="仿宋_GB2312" w:eastAsia="仿宋_GB2312"/>
          <w:snapToGrid w:val="0"/>
          <w:color w:val="000000"/>
          <w:sz w:val="32"/>
        </w:rPr>
        <w:t>招聘新教师</w:t>
      </w: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59</w:t>
      </w:r>
      <w:r>
        <w:rPr>
          <w:rFonts w:hint="eastAsia" w:ascii="仿宋_GB2312" w:eastAsia="仿宋_GB2312"/>
          <w:snapToGrid w:val="0"/>
          <w:color w:val="000000"/>
          <w:sz w:val="32"/>
        </w:rPr>
        <w:t>人，其中赴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江西师范大学等高校</w:t>
      </w:r>
      <w:r>
        <w:rPr>
          <w:rFonts w:hint="eastAsia" w:ascii="仿宋_GB2312" w:eastAsia="仿宋_GB2312"/>
          <w:snapToGrid w:val="0"/>
          <w:color w:val="000000"/>
          <w:sz w:val="32"/>
        </w:rPr>
        <w:t>开展高层次及紧缺学科教师招聘，签约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引进</w:t>
      </w: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全日制硕士研究生教育人才11人。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发放教育人才津贴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260.13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325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人享受了政策红利。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向</w:t>
      </w:r>
      <w:r>
        <w:rPr>
          <w:rFonts w:hint="eastAsia" w:ascii="仿宋_GB2312" w:hAnsi="仿宋" w:eastAsia="仿宋_GB2312" w:cs="仿宋"/>
          <w:sz w:val="32"/>
          <w:szCs w:val="32"/>
        </w:rPr>
        <w:t>1089名乡村教师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发放</w:t>
      </w:r>
      <w:r>
        <w:rPr>
          <w:rFonts w:hint="eastAsia" w:ascii="仿宋_GB2312" w:hAnsi="仿宋" w:eastAsia="仿宋_GB2312" w:cs="仿宋"/>
          <w:sz w:val="32"/>
          <w:szCs w:val="32"/>
        </w:rPr>
        <w:t>生活补助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艰苦边远地区教师特殊津贴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乡镇补贴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合计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769</w:t>
      </w:r>
      <w:r>
        <w:rPr>
          <w:rFonts w:hint="eastAsia" w:ascii="仿宋_GB2312" w:hAnsi="仿宋" w:eastAsia="仿宋_GB2312" w:cs="仿宋"/>
          <w:sz w:val="32"/>
          <w:szCs w:val="32"/>
        </w:rPr>
        <w:t>万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元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  <w:r>
        <w:rPr>
          <w:rFonts w:ascii="仿宋_GB2312" w:eastAsia="仿宋_GB2312"/>
          <w:snapToGrid w:val="0"/>
          <w:color w:val="000000"/>
          <w:sz w:val="32"/>
        </w:rPr>
        <w:t>优化教师资源配置，拟从全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县</w:t>
      </w:r>
      <w:r>
        <w:rPr>
          <w:rFonts w:ascii="仿宋_GB2312" w:eastAsia="仿宋_GB2312"/>
          <w:snapToGrid w:val="0"/>
          <w:color w:val="000000"/>
          <w:sz w:val="32"/>
        </w:rPr>
        <w:t>农村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学校（园）选调</w:t>
      </w:r>
      <w:r>
        <w:rPr>
          <w:rFonts w:hint="eastAsia" w:ascii="仿宋_GB2312" w:eastAsia="仿宋_GB2312"/>
          <w:snapToGrid w:val="0"/>
          <w:color w:val="000000"/>
          <w:sz w:val="32"/>
          <w:lang w:val="en-US" w:eastAsia="zh-CN"/>
        </w:rPr>
        <w:t>124</w:t>
      </w:r>
      <w:r>
        <w:rPr>
          <w:rFonts w:ascii="仿宋_GB2312" w:eastAsia="仿宋_GB2312"/>
          <w:snapToGrid w:val="0"/>
          <w:color w:val="000000"/>
          <w:sz w:val="32"/>
        </w:rPr>
        <w:t>名教师到城区学校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（园）</w:t>
      </w:r>
      <w:r>
        <w:rPr>
          <w:rFonts w:ascii="仿宋_GB2312" w:eastAsia="仿宋_GB2312"/>
          <w:snapToGrid w:val="0"/>
          <w:color w:val="000000"/>
          <w:sz w:val="32"/>
        </w:rPr>
        <w:t>任教。注重教师培养提升，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4614人次参加市级以上部署的各类培训，13人入选江西省第三期农村学校教师学历提升工程活动。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（四）聚焦民生关切，惠民举措更细更实。</w:t>
      </w:r>
      <w:r>
        <w:rPr>
          <w:rFonts w:hint="eastAsia" w:ascii="仿宋_GB2312" w:hAnsi="仿宋_GB2312" w:eastAsia="仿宋_GB2312" w:cs="仿宋_GB2312"/>
          <w:sz w:val="32"/>
          <w:szCs w:val="32"/>
        </w:rPr>
        <w:t>精准落实资助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政策</w:t>
      </w:r>
      <w:r>
        <w:rPr>
          <w:rFonts w:hint="eastAsia" w:ascii="仿宋_GB2312" w:hAnsi="仿宋_GB2312" w:eastAsia="仿宋_GB2312" w:cs="仿宋_GB2312"/>
          <w:sz w:val="32"/>
          <w:szCs w:val="32"/>
        </w:rPr>
        <w:t>，春季学期累计资助家庭经济困难学生14248人次，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发放资助</w:t>
      </w:r>
      <w:r>
        <w:rPr>
          <w:rFonts w:hint="eastAsia" w:ascii="仿宋_GB2312" w:hAnsi="仿宋_GB2312" w:eastAsia="仿宋_GB2312" w:cs="仿宋_GB2312"/>
          <w:sz w:val="32"/>
          <w:szCs w:val="32"/>
        </w:rPr>
        <w:t>金额822.33705万元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拨付营养改善计划膳食补助</w:t>
      </w:r>
      <w:r>
        <w:rPr>
          <w:rFonts w:hint="eastAsia" w:ascii="仿宋_GB2312" w:hAnsi="宋体" w:eastAsia="仿宋_GB2312"/>
          <w:sz w:val="32"/>
          <w:szCs w:val="32"/>
        </w:rPr>
        <w:t>564.627万元。完成34所普惠性民办幼儿园认定工作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温泉小镇公立幼儿园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顺利</w:t>
      </w:r>
      <w:r>
        <w:rPr>
          <w:rFonts w:hint="eastAsia" w:ascii="仿宋_GB2312" w:hAnsi="宋体" w:eastAsia="仿宋_GB2312"/>
          <w:sz w:val="32"/>
          <w:szCs w:val="32"/>
        </w:rPr>
        <w:t>开园，</w:t>
      </w:r>
      <w:r>
        <w:rPr>
          <w:rFonts w:hint="eastAsia" w:ascii="仿宋_GB2312" w:eastAsia="仿宋_GB2312"/>
          <w:sz w:val="32"/>
          <w:szCs w:val="32"/>
          <w:lang w:eastAsia="zh-CN"/>
        </w:rPr>
        <w:t>新增园</w:t>
      </w:r>
      <w:r>
        <w:rPr>
          <w:rFonts w:hint="eastAsia" w:ascii="仿宋_GB2312" w:hAnsi="宋体" w:eastAsia="仿宋_GB2312"/>
          <w:sz w:val="32"/>
          <w:szCs w:val="32"/>
        </w:rPr>
        <w:t>位270个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城南公立幼儿园</w:t>
      </w:r>
      <w:r>
        <w:rPr>
          <w:rFonts w:hint="eastAsia" w:ascii="仿宋_GB2312" w:eastAsia="仿宋_GB2312"/>
          <w:sz w:val="32"/>
          <w:szCs w:val="32"/>
          <w:lang w:eastAsia="zh-CN"/>
        </w:rPr>
        <w:t>拟于秋季学期开园</w:t>
      </w:r>
      <w:r>
        <w:rPr>
          <w:rFonts w:hint="eastAsia" w:ascii="仿宋_GB2312" w:hAnsi="宋体" w:eastAsia="仿宋_GB2312"/>
          <w:sz w:val="32"/>
          <w:szCs w:val="32"/>
        </w:rPr>
        <w:t>。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投入190余万元，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实施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标准化考场升级改造、普通学校特殊教育资源教室、“可躺式”课桌椅进校园试点采购等项目。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组织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召开石城县老年教育工作领导小组第一次会议</w:t>
      </w:r>
      <w:r>
        <w:rPr>
          <w:rFonts w:hint="eastAsia" w:ascii="仿宋_GB2312" w:eastAsia="仿宋_GB2312"/>
          <w:sz w:val="32"/>
          <w:szCs w:val="32"/>
          <w:lang w:eastAsia="zh-CN"/>
        </w:rPr>
        <w:t>，有序推进全县老年教育工作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全民健身活动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有序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铺开，全县体育场地数量增加227个，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琴江公园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、金圣广场、城北湿地公园改建项目和东城体育馆维修项目有序推进，城区15分钟健身圈基本形成。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强化学生身心健康，春季学期组织视力筛查23030人次，筛查性视力异常率35.68%；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组织1533名六年级适龄女生接种HPV疫苗。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积极回应社会群众关切，来信来访按时办结率、满意率进一步提升。切实整治形式主义为基层减负，发文数量同比下降33.6%，极大减少了社会性事务（活动）进校园，建立黑白名单，进一步规范和优化督检评等活动，切实减轻中小学教师负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（五）聚焦内涵建设，服务保障切实增强。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“2+N+2”教育体育经费管理制度体系进一步完善。开展全县校园消防、交通、防溺水、心理健康等各类安全隐患排查与整治20余次,制作宣传标语、横幅300余条，推送安全提醒20余条,有力构建平安和谐校园，荣获2023年全县安全生产先进单位。开展90余次点课式送教帮扶送教送培活动，送课394节，举办名师示范课展示活动19次。13名教师、39名学生获得市级以上一等奖荣誉。不断强化教育督导，开展“双减”、五项管理、“三违”治理等专项督查，高质量完成本县2024年江西省义务教育质量监测，16所中小学校校长和学科教师、660余名学生参加测试与问卷。规范校外培训行为，29个培训机构全部纳入全国校外监管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0" w:lineRule="exact"/>
        <w:ind w:firstLine="643" w:firstLineChars="200"/>
        <w:textAlignment w:val="auto"/>
        <w:rPr>
          <w:rFonts w:ascii="仿宋_GB2312" w:hAnsi="宋体" w:eastAsia="仿宋_GB2312"/>
          <w:snapToGrid w:val="0"/>
          <w:color w:val="000000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（六）聚焦体育强县，体教融合成效显著。</w:t>
      </w:r>
      <w:bookmarkStart w:id="0" w:name="OLE_LINK3"/>
      <w:bookmarkEnd w:id="0"/>
      <w:bookmarkStart w:id="1" w:name="OLE_LINK4"/>
      <w:bookmarkEnd w:id="1"/>
      <w:r>
        <w:rPr>
          <w:rFonts w:hint="eastAsia" w:ascii="仿宋_GB2312" w:hAnsi="宋体" w:eastAsia="仿宋_GB2312"/>
          <w:snapToGrid w:val="0"/>
          <w:color w:val="000000"/>
          <w:sz w:val="32"/>
        </w:rPr>
        <w:t>开足开齐上好体育课，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充分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保障学生每天校内1小时体育活动时间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。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" w:eastAsia="zh-CN"/>
        </w:rPr>
        <w:t>全力备战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-US" w:eastAsia="zh-CN"/>
        </w:rPr>
        <w:t>江西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" w:eastAsia="zh-CN"/>
        </w:rPr>
        <w:t>省百县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青少年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" w:eastAsia="zh-CN"/>
        </w:rPr>
        <w:t>运动会、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赣州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" w:eastAsia="zh-CN"/>
        </w:rPr>
        <w:t>市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青少年系列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" w:eastAsia="zh-CN"/>
        </w:rPr>
        <w:t>锦标赛，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-US" w:eastAsia="zh-CN"/>
        </w:rPr>
        <w:t>10人参加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市跆拳道锦标赛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-US" w:eastAsia="zh-CN"/>
        </w:rPr>
        <w:t>获7金1银，创造石城县青少年跆拳道项目历史最好成绩。举办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20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-US" w:eastAsia="zh-CN"/>
        </w:rPr>
        <w:t>24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年石城县第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五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届“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中国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体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育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彩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票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杯”青少年足球赛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-US" w:eastAsia="zh-CN"/>
        </w:rPr>
        <w:t>、</w:t>
      </w:r>
      <w:r>
        <w:rPr>
          <w:rFonts w:hint="eastAsia" w:ascii="仿宋_GB2312" w:hAnsi="宋体" w:eastAsia="仿宋_GB2312"/>
          <w:snapToGrid w:val="0"/>
          <w:color w:val="000000"/>
          <w:sz w:val="32"/>
        </w:rPr>
        <w:t>第二届“中国体育彩票杯”中小学生“三人制”篮球赛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。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-US" w:eastAsia="zh-CN"/>
        </w:rPr>
        <w:t>组织培训足球E教练员、国家三级足球裁判员共60人。开展新年登高徒步活动、山地自行车挑战赛（八卦脑站）等县级赛事活动20余场。成功举办</w:t>
      </w:r>
      <w:r>
        <w:rPr>
          <w:rFonts w:hint="eastAsia" w:ascii="仿宋_GB2312" w:hAnsi="宋体" w:eastAsia="仿宋_GB2312"/>
          <w:snapToGrid w:val="0"/>
          <w:color w:val="000000"/>
          <w:sz w:val="32"/>
          <w:lang w:eastAsia="zh-CN"/>
        </w:rPr>
        <w:t>2024China100山地越野系列赛（中国·石城）暨“新旭晖杯”首届石城映山红百里越野赛等大型赛事。</w:t>
      </w:r>
      <w:r>
        <w:rPr>
          <w:rFonts w:hint="eastAsia" w:ascii="仿宋_GB2312" w:hAnsi="宋体" w:eastAsia="仿宋_GB2312"/>
          <w:snapToGrid w:val="0"/>
          <w:color w:val="000000"/>
          <w:sz w:val="32"/>
          <w:lang w:val="en-US" w:eastAsia="zh-CN"/>
        </w:rPr>
        <w:t>佰盈体育科技股份有限公司荣获江西省2021-2023年度体育领域“专精特新”企业称号。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color w:val="000000"/>
          <w:sz w:val="32"/>
          <w:szCs w:val="32"/>
          <w:lang w:eastAsia="zh-CN"/>
        </w:rPr>
        <w:t>二、存在的主要问题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（一）“两项评估”硬件及全民健身体育设施建设存在短板。</w:t>
      </w:r>
      <w:r>
        <w:rPr>
          <w:rFonts w:hint="eastAsia" w:ascii="仿宋_GB2312" w:hAnsi="仿宋_GB2312" w:eastAsia="仿宋_GB2312" w:cs="仿宋_GB2312"/>
          <w:sz w:val="32"/>
          <w:szCs w:val="32"/>
        </w:rPr>
        <w:t>城区学校“大校额”现象依然存在，短期内实现义务教育优质均衡发展难度较大，老城区及农村体育设施较少，人均体育场地面积还未达到国家标准。</w:t>
      </w:r>
      <w:r>
        <w:rPr>
          <w:rFonts w:hint="eastAsia" w:ascii="仿宋_GB2312" w:eastAsia="仿宋_GB2312"/>
          <w:sz w:val="32"/>
          <w:szCs w:val="32"/>
        </w:rPr>
        <w:t>城区公立幼儿园网点布局不均衡，个别幼儿园存在“大班额”问题；大部分民办园办学条件相对较差，“三个面积”不达标。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(二）全县中小学校心理健康教育亟需解决。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主要是基础设施比较薄弱，县级层面还未建立学生心理辅导中心；心理健康状况动态监测机制还不够完善；专业师资力量缺乏，目前我县只招聘到2名专职心理健康教师，其余为兼职教师，且数量严重不够。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napToGrid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color w:val="00000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napToGrid w:val="0"/>
          <w:color w:val="000000"/>
          <w:sz w:val="32"/>
          <w:szCs w:val="32"/>
        </w:rPr>
        <w:t>、下半年工作</w:t>
      </w:r>
      <w:r>
        <w:rPr>
          <w:rFonts w:hint="eastAsia" w:ascii="黑体" w:hAnsi="黑体" w:eastAsia="黑体" w:cs="黑体"/>
          <w:snapToGrid w:val="0"/>
          <w:color w:val="000000"/>
          <w:sz w:val="32"/>
          <w:szCs w:val="32"/>
          <w:lang w:eastAsia="zh-CN"/>
        </w:rPr>
        <w:t>打算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0" w:lineRule="exact"/>
        <w:ind w:firstLine="643" w:firstLineChars="200"/>
        <w:jc w:val="both"/>
        <w:textAlignment w:val="auto"/>
        <w:rPr>
          <w:rFonts w:ascii="仿宋_GB2312" w:eastAsia="仿宋_GB2312"/>
          <w:snapToGrid w:val="0"/>
          <w:color w:val="000000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（一）加强党的建设，坚持党建引领。</w:t>
      </w:r>
      <w:r>
        <w:rPr>
          <w:rFonts w:ascii="仿宋_GB2312" w:eastAsia="仿宋_GB2312"/>
          <w:snapToGrid w:val="0"/>
          <w:color w:val="000000"/>
          <w:sz w:val="32"/>
        </w:rPr>
        <w:t>坚持不懈用习近平新时代中国特色社会主义思想凝心铸魂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，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加强党员教育监督管理，常态化开展党员培训，打造高素质党员队伍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。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完善党组织书记抓基层党建述职评议考核机制，</w:t>
      </w:r>
      <w:r>
        <w:rPr>
          <w:rFonts w:ascii="仿宋_GB2312" w:eastAsia="仿宋_GB2312"/>
          <w:snapToGrid w:val="0"/>
          <w:color w:val="000000"/>
          <w:sz w:val="32"/>
        </w:rPr>
        <w:t>促进党建和教育教学融合发展。扎实推进中小学思政课一体化建设，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探索“思政课程+课程思政”育人体系</w:t>
      </w:r>
      <w:r>
        <w:rPr>
          <w:rFonts w:ascii="仿宋_GB2312" w:eastAsia="仿宋_GB2312"/>
          <w:snapToGrid w:val="0"/>
          <w:color w:val="000000"/>
          <w:sz w:val="32"/>
        </w:rPr>
        <w:t>。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全面推进勤廉单位、勤廉学校建设，培育一批勤廉建设优秀典型。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持续推进党纪学习教育，</w:t>
      </w:r>
      <w:r>
        <w:rPr>
          <w:rFonts w:ascii="仿宋_GB2312" w:eastAsia="仿宋_GB2312"/>
          <w:snapToGrid w:val="0"/>
          <w:color w:val="000000"/>
          <w:sz w:val="32"/>
        </w:rPr>
        <w:t>常态开展警示教育，用身边事教育身边人。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0" w:lineRule="exact"/>
        <w:ind w:firstLine="643" w:firstLineChars="200"/>
        <w:textAlignment w:val="auto"/>
        <w:rPr>
          <w:rFonts w:ascii="仿宋_GB2312" w:eastAsia="仿宋_GB2312"/>
          <w:snapToGrid w:val="0"/>
          <w:color w:val="000000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（二）盯紧主要任务，提高发展质量。</w:t>
      </w:r>
      <w:r>
        <w:rPr>
          <w:rFonts w:ascii="仿宋_GB2312" w:eastAsia="仿宋_GB2312"/>
          <w:snapToGrid w:val="0"/>
          <w:color w:val="000000"/>
          <w:sz w:val="32"/>
        </w:rPr>
        <w:t>聚焦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义务教育优质</w:t>
      </w:r>
      <w:r>
        <w:rPr>
          <w:rFonts w:ascii="仿宋_GB2312" w:eastAsia="仿宋_GB2312"/>
          <w:snapToGrid w:val="0"/>
          <w:color w:val="000000"/>
          <w:sz w:val="32"/>
        </w:rPr>
        <w:t>均衡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和学前教育普及普惠</w:t>
      </w:r>
      <w:r>
        <w:rPr>
          <w:rFonts w:ascii="仿宋_GB2312" w:eastAsia="仿宋_GB2312"/>
          <w:snapToGrid w:val="0"/>
          <w:color w:val="000000"/>
          <w:sz w:val="32"/>
        </w:rPr>
        <w:t>发展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目标</w:t>
      </w:r>
      <w:r>
        <w:rPr>
          <w:rFonts w:ascii="仿宋_GB2312" w:eastAsia="仿宋_GB2312"/>
          <w:snapToGrid w:val="0"/>
          <w:color w:val="000000"/>
          <w:sz w:val="32"/>
        </w:rPr>
        <w:t>，发挥优质教育资源辐射带动作用，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完善集团化办学体制机制，</w:t>
      </w:r>
      <w:r>
        <w:rPr>
          <w:rFonts w:ascii="仿宋_GB2312" w:eastAsia="仿宋_GB2312"/>
          <w:snapToGrid w:val="0"/>
          <w:color w:val="000000"/>
          <w:sz w:val="32"/>
        </w:rPr>
        <w:t>持续深化城乡学校结对共建工作。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加快</w:t>
      </w:r>
      <w:r>
        <w:rPr>
          <w:rFonts w:hint="eastAsia" w:ascii="仿宋_GB2312" w:hAnsi="仿宋_GB2312" w:eastAsia="仿宋_GB2312" w:cs="仿宋_GB2312"/>
          <w:sz w:val="32"/>
          <w:szCs w:val="32"/>
        </w:rPr>
        <w:t>推进县职校二部、西城体育中心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城南中小学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</w:t>
      </w:r>
      <w:r>
        <w:rPr>
          <w:rFonts w:ascii="仿宋_GB2312" w:eastAsia="仿宋_GB2312"/>
          <w:snapToGrid w:val="0"/>
          <w:color w:val="000000"/>
          <w:sz w:val="32"/>
        </w:rPr>
        <w:t>。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高质量完成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优化农村义务教育资源配置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既定目标任务</w:t>
      </w:r>
      <w:r>
        <w:rPr>
          <w:rFonts w:ascii="仿宋_GB2312" w:eastAsia="仿宋_GB2312"/>
          <w:snapToGrid w:val="0"/>
          <w:color w:val="000000"/>
          <w:sz w:val="32"/>
        </w:rPr>
        <w:t>。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坚持立德树人，持续落实“双减”政策，多措并举夯实基础，进一步提升教育教学质量和育人水平。</w:t>
      </w:r>
      <w:r>
        <w:rPr>
          <w:rFonts w:ascii="仿宋_GB2312" w:eastAsia="仿宋_GB2312"/>
          <w:snapToGrid w:val="0"/>
          <w:color w:val="000000"/>
          <w:sz w:val="32"/>
        </w:rPr>
        <w:t>组织筹办各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类</w:t>
      </w:r>
      <w:r>
        <w:rPr>
          <w:rFonts w:ascii="仿宋_GB2312" w:eastAsia="仿宋_GB2312"/>
          <w:snapToGrid w:val="0"/>
          <w:color w:val="000000"/>
          <w:sz w:val="32"/>
        </w:rPr>
        <w:t>体育赛事活动，推进体育事业蓬勃发展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43" w:firstLineChars="200"/>
        <w:textAlignment w:val="auto"/>
        <w:rPr>
          <w:rFonts w:ascii="仿宋_GB2312" w:eastAsia="仿宋_GB2312"/>
          <w:snapToGrid w:val="0"/>
          <w:color w:val="000000"/>
          <w:sz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（三）抓实队伍建设，提升师资水平。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做好第40个教师系列节庆祝活动，评选第二届“十大最美”教师，讲好石城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教育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故事，营造尊师重教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、崇文尚德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的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浓厚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氛围</w:t>
      </w:r>
      <w:r>
        <w:rPr>
          <w:rFonts w:ascii="仿宋_GB2312" w:eastAsia="仿宋_GB2312"/>
          <w:snapToGrid w:val="0"/>
          <w:color w:val="000000"/>
          <w:sz w:val="32"/>
        </w:rPr>
        <w:t>。健全紧缺学科教师数量补充和均衡配置长效机制，优化教师年龄结构和学科结构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，</w:t>
      </w:r>
      <w:r>
        <w:rPr>
          <w:rFonts w:ascii="仿宋_GB2312" w:eastAsia="仿宋_GB2312"/>
          <w:snapToGrid w:val="0"/>
          <w:color w:val="000000"/>
          <w:sz w:val="32"/>
        </w:rPr>
        <w:t>做好教师交流（选调）、师资培训等工作</w:t>
      </w:r>
      <w:r>
        <w:rPr>
          <w:rFonts w:hint="eastAsia" w:ascii="仿宋_GB2312" w:eastAsia="仿宋_GB2312"/>
          <w:snapToGrid w:val="0"/>
          <w:color w:val="000000"/>
          <w:sz w:val="32"/>
          <w:lang w:eastAsia="zh-CN"/>
        </w:rPr>
        <w:t>。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强化“三违”治理，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加大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师德失范行为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处理力度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70" w:lineRule="exact"/>
        <w:ind w:firstLine="643" w:firstLineChars="2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（四）回应民生关切，落细民生实事。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z w:val="32"/>
          <w:lang w:eastAsia="zh-CN"/>
        </w:rPr>
        <w:t>精准做好秋季学期学生资助工作，做到应助尽助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。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持续推进实施农村义务教育学生营养改善计划。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稳妥做好城区学校划片招生入学工作，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聚焦“托育难”“接送幼儿难”问题，多渠道增加托位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，满足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群众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“上好学”的愿望。做好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家和新城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公立幼儿园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市级示范园初评、山河馨城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幼儿园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市级幼儿园复评工作。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加大推进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社会足球场建设，认真组织全民健身日系列活动。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43" w:firstLineChars="2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（五）强化安全管理，提升治理水平。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探索创新多元化安全风险分担机制，完善安全稳定风险防控体系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。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严格执行上级智慧消防平台建设决策部署，落实校园安全管理“一岗双责”责任制，防范化解系统矛盾风险。深入开展防溺水、交通、食品、消防、生产、反电诈、禁毒、校园内外环境、培训机构、网络安全等专项行动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，构建和谐、平安、文明校园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40" w:firstLineChars="200"/>
        <w:textAlignment w:val="auto"/>
        <w:rPr>
          <w:rFonts w:hint="default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080" w:firstLineChars="19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080" w:firstLineChars="19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石城县教育体育局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firstLine="6080" w:firstLineChars="1900"/>
        <w:textAlignment w:val="auto"/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2024年6月26日</w:t>
      </w:r>
    </w:p>
    <w:sectPr>
      <w:footerReference r:id="rId5" w:type="default"/>
      <w:pgSz w:w="12240" w:h="15840"/>
      <w:pgMar w:top="1587" w:right="1474" w:bottom="1587" w:left="1587" w:header="720" w:footer="720" w:gutter="0"/>
      <w:pgNumType w:fmt="numberInDash"/>
      <w:cols w:space="720" w:num="1"/>
      <w:formProt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2ODRlZGQ2OTQzODUyMWQwODcyM2E3ZTViMzRiMWUifQ=="/>
  </w:docVars>
  <w:rsids>
    <w:rsidRoot w:val="48244F96"/>
    <w:rsid w:val="034C108A"/>
    <w:rsid w:val="04317618"/>
    <w:rsid w:val="046B19E4"/>
    <w:rsid w:val="04885E24"/>
    <w:rsid w:val="06153BBF"/>
    <w:rsid w:val="067E466A"/>
    <w:rsid w:val="0C1666D9"/>
    <w:rsid w:val="0C4A4878"/>
    <w:rsid w:val="1068327B"/>
    <w:rsid w:val="145F746E"/>
    <w:rsid w:val="17A27073"/>
    <w:rsid w:val="18AA725D"/>
    <w:rsid w:val="1B8C6A8A"/>
    <w:rsid w:val="24CA19B7"/>
    <w:rsid w:val="25115838"/>
    <w:rsid w:val="274F5E0D"/>
    <w:rsid w:val="28CA28E4"/>
    <w:rsid w:val="29F574D6"/>
    <w:rsid w:val="2B0100FD"/>
    <w:rsid w:val="2E772BB0"/>
    <w:rsid w:val="3E1E4AD5"/>
    <w:rsid w:val="443C5D9B"/>
    <w:rsid w:val="457C1230"/>
    <w:rsid w:val="48244F96"/>
    <w:rsid w:val="49641B2B"/>
    <w:rsid w:val="4A063D17"/>
    <w:rsid w:val="4B257098"/>
    <w:rsid w:val="4D1A124A"/>
    <w:rsid w:val="4F026172"/>
    <w:rsid w:val="50722D7F"/>
    <w:rsid w:val="57801DD3"/>
    <w:rsid w:val="57D67717"/>
    <w:rsid w:val="592A2449"/>
    <w:rsid w:val="5A25587B"/>
    <w:rsid w:val="5A90452E"/>
    <w:rsid w:val="5CD303E1"/>
    <w:rsid w:val="606A5821"/>
    <w:rsid w:val="65734433"/>
    <w:rsid w:val="67521AFD"/>
    <w:rsid w:val="6A116D0D"/>
    <w:rsid w:val="6AB71526"/>
    <w:rsid w:val="6AFC0872"/>
    <w:rsid w:val="6E301E58"/>
    <w:rsid w:val="71272CB1"/>
    <w:rsid w:val="72F33520"/>
    <w:rsid w:val="758F6E4B"/>
    <w:rsid w:val="75BC66C7"/>
    <w:rsid w:val="76B61368"/>
    <w:rsid w:val="78F42BA4"/>
    <w:rsid w:val="798C4A9A"/>
    <w:rsid w:val="79F42DA6"/>
    <w:rsid w:val="7E0D3F64"/>
    <w:rsid w:val="7E24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宋体" w:hAnsi="宋体" w:eastAsia="宋体" w:cstheme="minorBidi"/>
      <w:sz w:val="22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qFormat/>
    <w:uiPriority w:val="0"/>
    <w:pPr>
      <w:ind w:firstLine="420" w:firstLineChars="200"/>
    </w:pPr>
    <w:rPr>
      <w:rFonts w:ascii="Calibri" w:hAnsi="Calibri"/>
      <w:szCs w:val="21"/>
    </w:rPr>
  </w:style>
  <w:style w:type="paragraph" w:styleId="3">
    <w:name w:val="Body Text Indent"/>
    <w:basedOn w:val="1"/>
    <w:next w:val="2"/>
    <w:qFormat/>
    <w:uiPriority w:val="0"/>
    <w:pPr>
      <w:ind w:firstLine="640" w:firstLineChars="200"/>
    </w:pPr>
    <w:rPr>
      <w:snapToGrid w:val="0"/>
      <w:kern w:val="0"/>
    </w:rPr>
  </w:style>
  <w:style w:type="paragraph" w:styleId="4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3"/>
    <w:qFormat/>
    <w:uiPriority w:val="0"/>
    <w:pPr>
      <w:ind w:firstLine="420"/>
    </w:pPr>
    <w:rPr>
      <w:rFonts w:ascii="Calibri" w:hAnsi="Calibri"/>
    </w:rPr>
  </w:style>
  <w:style w:type="character" w:styleId="11">
    <w:name w:val="Emphasis"/>
    <w:basedOn w:val="10"/>
    <w:qFormat/>
    <w:uiPriority w:val="0"/>
    <w:rPr>
      <w:i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Header or footer|2"/>
    <w:basedOn w:val="1"/>
    <w:autoRedefine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3375</Words>
  <Characters>3527</Characters>
  <Lines>0</Lines>
  <Paragraphs>0</Paragraphs>
  <TotalTime>58</TotalTime>
  <ScaleCrop>false</ScaleCrop>
  <LinksUpToDate>false</LinksUpToDate>
  <CharactersWithSpaces>3529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2024-06-24T09:05:00Z</dcterms:created>
  <dc:creator>独醉</dc:creator>
  <cp:lastModifiedBy>鲤鱼</cp:lastModifiedBy>
  <dcterms:modified xsi:type="dcterms:W3CDTF">2024-07-15T08:11:53Z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86C800F3AA9D424EAEF62D8AE2290718_13</vt:lpwstr>
  </property>
</Properties>
</file>