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28"/>
          <w:szCs w:val="28"/>
          <w:lang w:eastAsia="zh-CN"/>
        </w:rPr>
      </w:pPr>
      <w:r>
        <w:rPr>
          <w:rFonts w:hint="eastAsia"/>
          <w:b/>
          <w:bCs/>
          <w:sz w:val="28"/>
          <w:szCs w:val="28"/>
          <w:lang w:eastAsia="zh-CN"/>
        </w:rPr>
        <w:t>石城县行政服务中心自然资源局窗口一次性告知单</w:t>
      </w:r>
    </w:p>
    <w:p/>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4"/>
        <w:gridCol w:w="2790"/>
        <w:gridCol w:w="183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事项名称</w:t>
            </w:r>
          </w:p>
        </w:tc>
        <w:tc>
          <w:tcPr>
            <w:tcW w:w="6758" w:type="dxa"/>
            <w:gridSpan w:val="3"/>
            <w:vAlign w:val="center"/>
          </w:tcPr>
          <w:p>
            <w:pPr>
              <w:jc w:val="center"/>
              <w:rPr>
                <w:rFonts w:hint="default" w:eastAsiaTheme="minorEastAsia"/>
                <w:sz w:val="24"/>
                <w:szCs w:val="24"/>
                <w:vertAlign w:val="baseline"/>
                <w:lang w:val="en-US" w:eastAsia="zh-CN"/>
              </w:rPr>
            </w:pPr>
            <w:r>
              <w:rPr>
                <w:rFonts w:hint="eastAsia"/>
                <w:sz w:val="24"/>
                <w:szCs w:val="24"/>
                <w:vertAlign w:val="baseline"/>
                <w:lang w:eastAsia="zh-CN"/>
              </w:rPr>
              <w:t>乡村建设规划许可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办理结果</w:t>
            </w:r>
          </w:p>
        </w:tc>
        <w:tc>
          <w:tcPr>
            <w:tcW w:w="6758" w:type="dxa"/>
            <w:gridSpan w:val="3"/>
            <w:vAlign w:val="center"/>
          </w:tcPr>
          <w:p>
            <w:pPr>
              <w:jc w:val="center"/>
              <w:rPr>
                <w:rFonts w:hint="eastAsia" w:eastAsia="宋体"/>
                <w:sz w:val="24"/>
                <w:szCs w:val="24"/>
                <w:vertAlign w:val="baseline"/>
                <w:lang w:eastAsia="zh-CN"/>
              </w:rPr>
            </w:pPr>
            <w:r>
              <w:rPr>
                <w:rFonts w:hint="eastAsia"/>
                <w:sz w:val="24"/>
                <w:szCs w:val="24"/>
                <w:vertAlign w:val="baseline"/>
                <w:lang w:val="en-US" w:eastAsia="zh-CN"/>
              </w:rPr>
              <w:t>乡村建设规划许可证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vAlign w:val="center"/>
          </w:tcPr>
          <w:p>
            <w:pPr>
              <w:jc w:val="center"/>
              <w:rPr>
                <w:rFonts w:hint="eastAsia"/>
                <w:b/>
                <w:bCs/>
                <w:sz w:val="24"/>
                <w:szCs w:val="24"/>
                <w:vertAlign w:val="baseline"/>
                <w:lang w:eastAsia="zh-CN"/>
              </w:rPr>
            </w:pPr>
            <w:r>
              <w:rPr>
                <w:rFonts w:hint="eastAsia"/>
                <w:b/>
                <w:bCs/>
                <w:sz w:val="24"/>
                <w:szCs w:val="24"/>
                <w:vertAlign w:val="baseline"/>
                <w:lang w:eastAsia="zh-CN"/>
              </w:rPr>
              <w:t>承诺办理时限</w:t>
            </w:r>
          </w:p>
        </w:tc>
        <w:tc>
          <w:tcPr>
            <w:tcW w:w="6758" w:type="dxa"/>
            <w:gridSpan w:val="3"/>
          </w:tcPr>
          <w:p>
            <w:pPr>
              <w:numPr>
                <w:ilvl w:val="0"/>
                <w:numId w:val="0"/>
              </w:numPr>
              <w:rPr>
                <w:sz w:val="24"/>
                <w:szCs w:val="24"/>
                <w:vertAlign w:val="baseline"/>
              </w:rPr>
            </w:pPr>
            <w:r>
              <w:rPr>
                <w:rFonts w:hint="eastAsia"/>
                <w:sz w:val="24"/>
                <w:szCs w:val="24"/>
                <w:vertAlign w:val="baseline"/>
                <w:lang w:val="en-US" w:eastAsia="zh-CN"/>
              </w:rPr>
              <w:t>20个工作日(不含材料补正、 论证、公示、征求利害关系人意见、建设工程设计方案修改、其他部门意见或者组织听证等环节所需时间)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承办人及电话</w:t>
            </w:r>
          </w:p>
        </w:tc>
        <w:tc>
          <w:tcPr>
            <w:tcW w:w="2790" w:type="dxa"/>
          </w:tcPr>
          <w:p>
            <w:pPr>
              <w:jc w:val="center"/>
              <w:rPr>
                <w:rFonts w:hint="default" w:eastAsiaTheme="minorEastAsia"/>
                <w:sz w:val="24"/>
                <w:szCs w:val="24"/>
                <w:vertAlign w:val="baseline"/>
                <w:lang w:val="en-US" w:eastAsia="zh-CN"/>
              </w:rPr>
            </w:pPr>
            <w:r>
              <w:rPr>
                <w:rFonts w:hint="eastAsia"/>
                <w:sz w:val="24"/>
                <w:szCs w:val="24"/>
                <w:vertAlign w:val="baseline"/>
                <w:lang w:val="en-US" w:eastAsia="zh-CN"/>
              </w:rPr>
              <w:t>廖美英18070108719</w:t>
            </w:r>
          </w:p>
        </w:tc>
        <w:tc>
          <w:tcPr>
            <w:tcW w:w="1837" w:type="dxa"/>
          </w:tcPr>
          <w:p>
            <w:pPr>
              <w:jc w:val="center"/>
              <w:rPr>
                <w:rFonts w:hint="eastAsia" w:eastAsiaTheme="minorEastAsia"/>
                <w:sz w:val="24"/>
                <w:szCs w:val="24"/>
                <w:vertAlign w:val="baseline"/>
                <w:lang w:eastAsia="zh-CN"/>
              </w:rPr>
            </w:pPr>
            <w:r>
              <w:rPr>
                <w:rFonts w:hint="eastAsia"/>
                <w:b/>
                <w:bCs/>
                <w:sz w:val="24"/>
                <w:szCs w:val="24"/>
                <w:vertAlign w:val="baseline"/>
                <w:lang w:eastAsia="zh-CN"/>
              </w:rPr>
              <w:t>咨询电话</w:t>
            </w:r>
          </w:p>
        </w:tc>
        <w:tc>
          <w:tcPr>
            <w:tcW w:w="2131" w:type="dxa"/>
          </w:tcPr>
          <w:p>
            <w:pPr>
              <w:jc w:val="center"/>
              <w:rPr>
                <w:rFonts w:hint="default" w:eastAsiaTheme="minorEastAsia"/>
                <w:sz w:val="24"/>
                <w:szCs w:val="24"/>
                <w:vertAlign w:val="baseline"/>
                <w:lang w:val="en-US" w:eastAsia="zh-CN"/>
              </w:rPr>
            </w:pPr>
            <w:r>
              <w:rPr>
                <w:rFonts w:hint="eastAsia"/>
                <w:sz w:val="24"/>
                <w:szCs w:val="24"/>
                <w:vertAlign w:val="baseline"/>
                <w:lang w:val="en-US" w:eastAsia="zh-CN"/>
              </w:rPr>
              <w:t>0797-5712851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pPr>
              <w:jc w:val="center"/>
              <w:rPr>
                <w:rFonts w:hint="eastAsia"/>
                <w:b/>
                <w:bCs/>
                <w:sz w:val="24"/>
                <w:szCs w:val="24"/>
                <w:vertAlign w:val="baseline"/>
                <w:lang w:eastAsia="zh-CN"/>
              </w:rPr>
            </w:pPr>
            <w:r>
              <w:rPr>
                <w:rFonts w:hint="eastAsia"/>
                <w:b/>
                <w:bCs/>
                <w:sz w:val="24"/>
                <w:szCs w:val="24"/>
                <w:vertAlign w:val="baseline"/>
                <w:lang w:eastAsia="zh-CN"/>
              </w:rPr>
              <w:t>受理条件</w:t>
            </w:r>
          </w:p>
        </w:tc>
        <w:tc>
          <w:tcPr>
            <w:tcW w:w="6758"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在城镇开发边界以外的乡村区域，使用集体土地进行乡村公共设施、公益事业、乡镇企业、新型村民社区</w:t>
            </w:r>
            <w:r>
              <w:rPr>
                <w:rFonts w:hint="eastAsia"/>
                <w:sz w:val="24"/>
                <w:szCs w:val="24"/>
                <w:vertAlign w:val="baseline"/>
                <w:lang w:val="en-US" w:eastAsia="zh-CN"/>
              </w:rPr>
              <w:tab/>
            </w:r>
            <w:r>
              <w:rPr>
                <w:rFonts w:hint="eastAsia"/>
                <w:sz w:val="24"/>
                <w:szCs w:val="24"/>
                <w:vertAlign w:val="baseline"/>
                <w:lang w:val="en-US" w:eastAsia="zh-CN"/>
              </w:rPr>
              <w:t>(含农民拆迁集中安置)的，或土地所有权人将集体经营性建设用地通过出租、出让等方式交由单位或个人使用的，含新建、扩建、改建，应当依法申请办理乡村建设规划许可证。属于地方规定可不办理情形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pPr>
              <w:jc w:val="center"/>
              <w:rPr>
                <w:rFonts w:hint="eastAsia"/>
                <w:b/>
                <w:bCs/>
                <w:sz w:val="24"/>
                <w:szCs w:val="24"/>
                <w:vertAlign w:val="baseline"/>
                <w:lang w:eastAsia="zh-CN"/>
              </w:rPr>
            </w:pPr>
            <w:r>
              <w:rPr>
                <w:rFonts w:hint="eastAsia"/>
                <w:b/>
                <w:bCs/>
                <w:sz w:val="24"/>
                <w:szCs w:val="24"/>
                <w:vertAlign w:val="baseline"/>
                <w:lang w:eastAsia="zh-CN"/>
              </w:rPr>
              <w:t>设定依据</w:t>
            </w:r>
          </w:p>
        </w:tc>
        <w:tc>
          <w:tcPr>
            <w:tcW w:w="6758" w:type="dxa"/>
            <w:gridSpan w:val="3"/>
          </w:tcPr>
          <w:p>
            <w:pPr>
              <w:numPr>
                <w:ilvl w:val="0"/>
                <w:numId w:val="2"/>
              </w:numPr>
              <w:rPr>
                <w:rFonts w:hint="eastAsia"/>
                <w:sz w:val="24"/>
                <w:szCs w:val="24"/>
                <w:vertAlign w:val="baseline"/>
                <w:lang w:val="en-US" w:eastAsia="zh-CN"/>
              </w:rPr>
            </w:pPr>
            <w:r>
              <w:rPr>
                <w:rFonts w:hint="eastAsia"/>
                <w:sz w:val="24"/>
                <w:szCs w:val="24"/>
                <w:vertAlign w:val="baseline"/>
                <w:lang w:val="en-US" w:eastAsia="zh-CN"/>
              </w:rPr>
              <w:t>《中华人民共和国城乡规划法》第四十一条；</w:t>
            </w:r>
          </w:p>
          <w:p>
            <w:pPr>
              <w:numPr>
                <w:ilvl w:val="0"/>
                <w:numId w:val="0"/>
              </w:numPr>
              <w:rPr>
                <w:rFonts w:hint="default"/>
                <w:sz w:val="24"/>
                <w:szCs w:val="24"/>
                <w:vertAlign w:val="baseline"/>
                <w:lang w:val="en-US" w:eastAsia="zh-CN"/>
              </w:rPr>
            </w:pPr>
            <w:r>
              <w:rPr>
                <w:rFonts w:hint="eastAsia"/>
                <w:sz w:val="24"/>
                <w:szCs w:val="24"/>
                <w:vertAlign w:val="baseline"/>
                <w:lang w:val="en-US" w:eastAsia="zh-CN"/>
              </w:rPr>
              <w:t>2.《中华人民共和国土地管理法》第十八条；</w:t>
            </w:r>
          </w:p>
          <w:p>
            <w:pPr>
              <w:numPr>
                <w:ilvl w:val="0"/>
                <w:numId w:val="0"/>
              </w:numPr>
              <w:rPr>
                <w:rFonts w:hint="default"/>
                <w:sz w:val="24"/>
                <w:szCs w:val="24"/>
                <w:vertAlign w:val="baseline"/>
                <w:lang w:val="en-US" w:eastAsia="zh-CN"/>
              </w:rPr>
            </w:pPr>
            <w:r>
              <w:rPr>
                <w:rFonts w:hint="eastAsia"/>
                <w:sz w:val="24"/>
                <w:szCs w:val="24"/>
                <w:vertAlign w:val="baseline"/>
                <w:lang w:val="en-US" w:eastAsia="zh-CN"/>
              </w:rPr>
              <w:t>3.《中华人民共和国土地管理法实施条例》第二条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准予行政许可条件</w:t>
            </w:r>
          </w:p>
        </w:tc>
        <w:tc>
          <w:tcPr>
            <w:tcW w:w="6758" w:type="dxa"/>
            <w:gridSpan w:val="3"/>
          </w:tcPr>
          <w:p>
            <w:pPr>
              <w:numPr>
                <w:numId w:val="0"/>
              </w:numPr>
              <w:rPr>
                <w:rFonts w:hint="eastAsia"/>
                <w:sz w:val="24"/>
                <w:szCs w:val="24"/>
                <w:vertAlign w:val="baseline"/>
                <w:lang w:val="en-US" w:eastAsia="zh-CN"/>
              </w:rPr>
            </w:pPr>
            <w:r>
              <w:rPr>
                <w:rFonts w:hint="eastAsia"/>
                <w:sz w:val="24"/>
                <w:szCs w:val="24"/>
                <w:vertAlign w:val="baseline"/>
                <w:lang w:val="en-US" w:eastAsia="zh-CN"/>
              </w:rPr>
              <w:t>（1）拟建设项目批准、核准、备案的用地面积、建设规模、建设用途等符合国土空间规划；</w:t>
            </w:r>
          </w:p>
          <w:p>
            <w:pPr>
              <w:numPr>
                <w:numId w:val="0"/>
              </w:numPr>
              <w:rPr>
                <w:rFonts w:hint="eastAsia"/>
                <w:sz w:val="24"/>
                <w:szCs w:val="24"/>
                <w:vertAlign w:val="baseline"/>
                <w:lang w:val="en-US" w:eastAsia="zh-CN"/>
              </w:rPr>
            </w:pPr>
            <w:r>
              <w:rPr>
                <w:rFonts w:hint="eastAsia"/>
                <w:sz w:val="24"/>
                <w:szCs w:val="24"/>
                <w:vertAlign w:val="baseline"/>
                <w:lang w:val="en-US" w:eastAsia="zh-CN"/>
              </w:rPr>
              <w:t>（2）建设工程设计方案符合国土空间规划和用途管制要求；</w:t>
            </w:r>
          </w:p>
          <w:p>
            <w:pPr>
              <w:numPr>
                <w:numId w:val="0"/>
              </w:numPr>
              <w:rPr>
                <w:rFonts w:hint="eastAsia"/>
                <w:sz w:val="24"/>
                <w:szCs w:val="24"/>
                <w:vertAlign w:val="baseline"/>
                <w:lang w:val="en-US" w:eastAsia="zh-CN"/>
              </w:rPr>
            </w:pPr>
            <w:r>
              <w:rPr>
                <w:rFonts w:hint="eastAsia"/>
                <w:sz w:val="24"/>
                <w:szCs w:val="24"/>
                <w:vertAlign w:val="baseline"/>
                <w:lang w:val="en-US" w:eastAsia="zh-CN"/>
              </w:rPr>
              <w:t>（3）项目土地界址、地类、面积属实且清晰，权属无争议。</w:t>
            </w:r>
          </w:p>
          <w:p>
            <w:pPr>
              <w:numPr>
                <w:ilvl w:val="0"/>
                <w:numId w:val="0"/>
              </w:numP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8"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申报材料</w:t>
            </w:r>
          </w:p>
        </w:tc>
        <w:tc>
          <w:tcPr>
            <w:tcW w:w="6758"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（一）乡村建设规划许可申请审批表；</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（二）建设项目批准、核准、备案文件；</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（三）土地使用证明材料(集体建设用地批文，不占用土地的管线类项目除外；属原有房屋扩建、改建的建设工程，仅提交不动产权证);</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（四）建设工程设计方案(含规划设计图纸，经村小组公示5日无异议);</w:t>
            </w:r>
          </w:p>
          <w:p>
            <w:pPr>
              <w:keepNext w:val="0"/>
              <w:keepLines w:val="0"/>
              <w:widowControl/>
              <w:suppressLineNumbers w:val="0"/>
              <w:jc w:val="left"/>
              <w:rPr>
                <w:rFonts w:hint="eastAsia"/>
                <w:sz w:val="24"/>
                <w:szCs w:val="24"/>
                <w:vertAlign w:val="baseline"/>
                <w:lang w:val="en-US" w:eastAsia="zh-CN"/>
              </w:rPr>
            </w:pPr>
            <w:r>
              <w:rPr>
                <w:rFonts w:hint="eastAsia"/>
                <w:sz w:val="24"/>
                <w:szCs w:val="24"/>
                <w:vertAlign w:val="baseline"/>
                <w:lang w:val="en-US" w:eastAsia="zh-CN"/>
              </w:rPr>
              <w:t>（五）1:500或1:1000的含项目用地范围的地形图；</w:t>
            </w:r>
          </w:p>
          <w:p>
            <w:pPr>
              <w:keepNext w:val="0"/>
              <w:keepLines w:val="0"/>
              <w:widowControl/>
              <w:suppressLineNumbers w:val="0"/>
              <w:jc w:val="left"/>
              <w:rPr>
                <w:rFonts w:hint="eastAsia" w:eastAsiaTheme="minorEastAsia"/>
                <w:sz w:val="24"/>
                <w:szCs w:val="24"/>
                <w:vertAlign w:val="baseline"/>
                <w:lang w:val="en-US" w:eastAsia="zh-CN"/>
              </w:rPr>
            </w:pPr>
            <w:r>
              <w:rPr>
                <w:rFonts w:hint="eastAsia"/>
                <w:sz w:val="24"/>
                <w:szCs w:val="24"/>
                <w:vertAlign w:val="baseline"/>
                <w:lang w:val="en-US" w:eastAsia="zh-CN"/>
              </w:rPr>
              <w:t>（六）由ArcMap导出的空间数据文件</w:t>
            </w:r>
            <w:r>
              <w:rPr>
                <w:rFonts w:hint="eastAsia" w:ascii="宋体" w:hAnsi="宋体" w:eastAsia="宋体" w:cs="宋体"/>
                <w:color w:val="000000"/>
                <w:kern w:val="0"/>
                <w:sz w:val="24"/>
                <w:szCs w:val="24"/>
                <w:lang w:val="en-US" w:eastAsia="zh-CN" w:bidi="ar"/>
              </w:rPr>
              <w:t>（要加带号39）</w:t>
            </w:r>
            <w:r>
              <w:rPr>
                <w:rFonts w:hint="eastAsia"/>
                <w:sz w:val="24"/>
                <w:szCs w:val="24"/>
                <w:vertAlign w:val="baseline"/>
                <w:lang w:val="en-US" w:eastAsia="zh-CN"/>
              </w:rPr>
              <w:t>，包含</w:t>
            </w:r>
            <w:r>
              <w:rPr>
                <w:rFonts w:hint="eastAsia" w:ascii="宋体" w:hAnsi="宋体" w:eastAsia="宋体" w:cs="宋体"/>
                <w:color w:val="000000"/>
                <w:kern w:val="0"/>
                <w:sz w:val="24"/>
                <w:szCs w:val="24"/>
                <w:lang w:val="en-US" w:eastAsia="zh-CN" w:bidi="ar"/>
              </w:rPr>
              <w:t xml:space="preserve"> cpg、dbf、prj、shp 和 shx 五个文件，选定5个文件右击压缩为一个文件（ZIP格式）。</w:t>
            </w:r>
            <w:bookmarkStart w:id="0" w:name="_GoBack"/>
            <w:bookmarkEnd w:id="0"/>
          </w:p>
          <w:p>
            <w:pPr>
              <w:numPr>
                <w:ilvl w:val="0"/>
                <w:numId w:val="0"/>
              </w:numPr>
              <w:rPr>
                <w:rFonts w:hint="eastAsia" w:eastAsiaTheme="minorEastAsia"/>
                <w:sz w:val="24"/>
                <w:szCs w:val="24"/>
                <w:vertAlign w:val="baseline"/>
                <w:lang w:val="en-US" w:eastAsia="zh-CN"/>
              </w:rPr>
            </w:pPr>
            <w:r>
              <w:rPr>
                <w:rFonts w:hint="eastAsia"/>
                <w:sz w:val="24"/>
                <w:szCs w:val="24"/>
                <w:vertAlign w:val="baseline"/>
                <w:lang w:val="en-US" w:eastAsia="zh-CN"/>
              </w:rPr>
              <w:t>（七）经村民会议或村民代表大会讨论同意、村委会签署的同意使用本村集体土地实施建设的意见。涉及使用乡、 镇集体土地的，须土地所有权人出具同意使用土地实施建设的意见。与原土地使用权人签订的补偿协议、转账记录等；</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（八）乡、镇人民政府审核意见；</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九）农用地、未利用地和其它建设用地用途变更为“一住两公”（住宅、公共管理、公共服务）用地的，需要提交经评审的土壤污染状况调查报告。原则上“一住两公”之间相互变更的不需要调查，但环卫和污水处理设施变更为住宅的除外。</w:t>
            </w:r>
          </w:p>
          <w:p>
            <w:pPr>
              <w:numPr>
                <w:ilvl w:val="0"/>
                <w:numId w:val="0"/>
              </w:numPr>
              <w:ind w:leftChars="0"/>
              <w:rPr>
                <w:rFonts w:hint="eastAsia"/>
                <w:sz w:val="24"/>
                <w:szCs w:val="24"/>
                <w:vertAlign w:val="baseline"/>
                <w:lang w:val="en-US" w:eastAsia="zh-CN"/>
              </w:rPr>
            </w:pPr>
            <w:r>
              <w:rPr>
                <w:rFonts w:hint="eastAsia"/>
                <w:sz w:val="24"/>
                <w:szCs w:val="24"/>
                <w:vertAlign w:val="baseline"/>
                <w:lang w:val="en-US" w:eastAsia="zh-CN"/>
              </w:rPr>
              <w:t>（十）营业执照或统一社会信用代码证书、法人代表身份证复印件，委托他人办理的提供委托书和受托人身份证复印件。</w:t>
            </w:r>
          </w:p>
          <w:p>
            <w:pPr>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办理程序</w:t>
            </w:r>
          </w:p>
        </w:tc>
        <w:tc>
          <w:tcPr>
            <w:tcW w:w="6758" w:type="dxa"/>
            <w:gridSpan w:val="3"/>
            <w:vAlign w:val="center"/>
          </w:tcPr>
          <w:p>
            <w:pPr>
              <w:jc w:val="center"/>
              <w:rPr>
                <w:rFonts w:hint="default" w:eastAsiaTheme="minorEastAsia"/>
                <w:sz w:val="24"/>
                <w:szCs w:val="24"/>
                <w:vertAlign w:val="baseline"/>
                <w:lang w:val="en-US" w:eastAsia="zh-CN"/>
              </w:rPr>
            </w:pPr>
            <w:r>
              <w:rPr>
                <w:rFonts w:hint="eastAsia"/>
                <w:sz w:val="24"/>
                <w:szCs w:val="24"/>
                <w:vertAlign w:val="baseline"/>
                <w:lang w:eastAsia="zh-CN"/>
              </w:rPr>
              <w:t>在江西省政务网申请（http://www.jxzwfww.gov.cn/）——受理——审查——批准——发放乡村建设规划许可证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有效期及延续</w:t>
            </w:r>
          </w:p>
        </w:tc>
        <w:tc>
          <w:tcPr>
            <w:tcW w:w="6758" w:type="dxa"/>
            <w:gridSpan w:val="3"/>
            <w:vAlign w:val="center"/>
          </w:tcPr>
          <w:p>
            <w:pPr>
              <w:numPr>
                <w:ilvl w:val="0"/>
                <w:numId w:val="0"/>
              </w:numPr>
              <w:jc w:val="center"/>
              <w:rPr>
                <w:rFonts w:hint="eastAsia"/>
                <w:sz w:val="24"/>
                <w:szCs w:val="24"/>
                <w:vertAlign w:val="baseline"/>
                <w:lang w:val="en-US" w:eastAsia="zh-CN"/>
              </w:rPr>
            </w:pPr>
            <w:r>
              <w:rPr>
                <w:rFonts w:hint="eastAsia"/>
                <w:sz w:val="24"/>
                <w:szCs w:val="24"/>
                <w:vertAlign w:val="baseline"/>
                <w:lang w:val="en-US" w:eastAsia="zh-CN"/>
              </w:rPr>
              <w:t>建设单位或者个人在取得乡村建设规划许可证后一年内应当开工建设。在一年内未动工的，应当在期满前三十日内向原核发机关申请延续，经批准后可以延期一次，延续期限不得超过一年。逾期未申请延续或者申请延续未获批准的，乡村建设规划许可证失效，需重新申请办理。</w:t>
            </w:r>
          </w:p>
          <w:p>
            <w:pPr>
              <w:numPr>
                <w:ilvl w:val="0"/>
                <w:numId w:val="0"/>
              </w:numPr>
              <w:jc w:val="center"/>
              <w:rPr>
                <w:rFonts w:hint="eastAsia"/>
                <w:sz w:val="24"/>
                <w:szCs w:val="24"/>
                <w:vertAlign w:val="baseline"/>
                <w:lang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7"/>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3F96EF4"/>
    <w:multiLevelType w:val="singleLevel"/>
    <w:tmpl w:val="43F96EF4"/>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jNTQzNGQ5MTM2MTliN2Q4Y2Y5ZGNhNDliOTBhNjgifQ=="/>
  </w:docVars>
  <w:rsids>
    <w:rsidRoot w:val="00000000"/>
    <w:rsid w:val="00B148AF"/>
    <w:rsid w:val="0247556A"/>
    <w:rsid w:val="06E62E4A"/>
    <w:rsid w:val="07CC723D"/>
    <w:rsid w:val="08CF28B8"/>
    <w:rsid w:val="0BB52420"/>
    <w:rsid w:val="0C0F6F17"/>
    <w:rsid w:val="0F374825"/>
    <w:rsid w:val="101173EF"/>
    <w:rsid w:val="1293605E"/>
    <w:rsid w:val="140465DA"/>
    <w:rsid w:val="14C831EF"/>
    <w:rsid w:val="150A4901"/>
    <w:rsid w:val="164D559F"/>
    <w:rsid w:val="17F61B9F"/>
    <w:rsid w:val="18624061"/>
    <w:rsid w:val="18AC775F"/>
    <w:rsid w:val="18BF5A03"/>
    <w:rsid w:val="1BA32CBA"/>
    <w:rsid w:val="1BCA07E5"/>
    <w:rsid w:val="1CC5274E"/>
    <w:rsid w:val="1E285EAC"/>
    <w:rsid w:val="20B65FAF"/>
    <w:rsid w:val="2140052D"/>
    <w:rsid w:val="2B165705"/>
    <w:rsid w:val="30454337"/>
    <w:rsid w:val="31777529"/>
    <w:rsid w:val="32F04866"/>
    <w:rsid w:val="33DE6DDA"/>
    <w:rsid w:val="34AE5B28"/>
    <w:rsid w:val="36E0150E"/>
    <w:rsid w:val="39A405D1"/>
    <w:rsid w:val="3A230DBA"/>
    <w:rsid w:val="3B532F34"/>
    <w:rsid w:val="4124641F"/>
    <w:rsid w:val="416D4BE4"/>
    <w:rsid w:val="47F74F2F"/>
    <w:rsid w:val="4CEA5D57"/>
    <w:rsid w:val="4D936F6B"/>
    <w:rsid w:val="4E4A4FCE"/>
    <w:rsid w:val="4EA26759"/>
    <w:rsid w:val="4F55221A"/>
    <w:rsid w:val="514870C6"/>
    <w:rsid w:val="514B34F9"/>
    <w:rsid w:val="514C537E"/>
    <w:rsid w:val="52106257"/>
    <w:rsid w:val="53325195"/>
    <w:rsid w:val="55AB0897"/>
    <w:rsid w:val="56FE59DA"/>
    <w:rsid w:val="57694D22"/>
    <w:rsid w:val="58AF59BF"/>
    <w:rsid w:val="58DD011A"/>
    <w:rsid w:val="5C1419E4"/>
    <w:rsid w:val="5D207DB2"/>
    <w:rsid w:val="5E8D7E36"/>
    <w:rsid w:val="61060A21"/>
    <w:rsid w:val="63936E82"/>
    <w:rsid w:val="68C71A66"/>
    <w:rsid w:val="6BEC5C84"/>
    <w:rsid w:val="6E4262AC"/>
    <w:rsid w:val="6FF003F1"/>
    <w:rsid w:val="72513FC0"/>
    <w:rsid w:val="72B333C6"/>
    <w:rsid w:val="72D61100"/>
    <w:rsid w:val="733B36AC"/>
    <w:rsid w:val="74BF0599"/>
    <w:rsid w:val="76DA3EB1"/>
    <w:rsid w:val="779852C0"/>
    <w:rsid w:val="79B63F51"/>
    <w:rsid w:val="7B3D7AAF"/>
    <w:rsid w:val="7B8B152D"/>
    <w:rsid w:val="7BC16283"/>
    <w:rsid w:val="7F175454"/>
    <w:rsid w:val="7FAA5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二级无"/>
    <w:basedOn w:val="7"/>
    <w:autoRedefine/>
    <w:qFormat/>
    <w:uiPriority w:val="0"/>
    <w:pPr>
      <w:spacing w:beforeLines="0" w:afterLines="0"/>
    </w:pPr>
    <w:rPr>
      <w:rFonts w:ascii="宋体" w:eastAsia="宋体"/>
    </w:rPr>
  </w:style>
  <w:style w:type="paragraph" w:customStyle="1" w:styleId="7">
    <w:name w:val="二级条标题"/>
    <w:basedOn w:val="8"/>
    <w:next w:val="9"/>
    <w:autoRedefine/>
    <w:qFormat/>
    <w:uiPriority w:val="0"/>
    <w:pPr>
      <w:numPr>
        <w:ilvl w:val="2"/>
      </w:numPr>
      <w:spacing w:before="50" w:after="50"/>
      <w:outlineLvl w:val="3"/>
    </w:pPr>
  </w:style>
  <w:style w:type="paragraph" w:customStyle="1" w:styleId="8">
    <w:name w:val="一级条标题"/>
    <w:next w:val="9"/>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9">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989</Words>
  <Characters>1067</Characters>
  <Lines>0</Lines>
  <Paragraphs>0</Paragraphs>
  <TotalTime>0</TotalTime>
  <ScaleCrop>false</ScaleCrop>
  <LinksUpToDate>false</LinksUpToDate>
  <CharactersWithSpaces>1074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 笨企鹅 </cp:lastModifiedBy>
  <cp:lastPrinted>2023-03-02T01:11:00Z</cp:lastPrinted>
  <dcterms:modified xsi:type="dcterms:W3CDTF">2024-03-27T08:27:46Z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263C7A2D3F174AC5B0CCEE183239A912</vt:lpwstr>
  </property>
</Properties>
</file>