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A0BEC2">
      <w:pPr>
        <w:spacing w:before="104" w:line="224" w:lineRule="auto"/>
        <w:outlineLvl w:val="0"/>
        <w:rPr>
          <w:rFonts w:hint="eastAsia" w:ascii="黑体" w:hAnsi="黑体" w:eastAsia="黑体" w:cs="黑体"/>
          <w:b w:val="0"/>
          <w:bCs w:val="0"/>
          <w:spacing w:val="22"/>
          <w:sz w:val="32"/>
          <w:szCs w:val="32"/>
          <w:lang w:val="en-US" w:eastAsia="zh-CN"/>
        </w:rPr>
      </w:pPr>
      <w:r>
        <w:rPr>
          <w:rFonts w:ascii="黑体" w:hAnsi="黑体" w:eastAsia="黑体" w:cs="黑体"/>
          <w:b w:val="0"/>
          <w:bCs w:val="0"/>
          <w:spacing w:val="22"/>
          <w:sz w:val="32"/>
          <w:szCs w:val="32"/>
        </w:rPr>
        <w:t>附件</w:t>
      </w:r>
      <w:r>
        <w:rPr>
          <w:rFonts w:hint="eastAsia" w:ascii="黑体" w:hAnsi="黑体" w:eastAsia="黑体" w:cs="黑体"/>
          <w:b w:val="0"/>
          <w:bCs w:val="0"/>
          <w:spacing w:val="22"/>
          <w:sz w:val="32"/>
          <w:szCs w:val="32"/>
          <w:lang w:val="en-US" w:eastAsia="zh-CN"/>
        </w:rPr>
        <w:t>2</w:t>
      </w:r>
    </w:p>
    <w:p w14:paraId="3930ACC4">
      <w:pPr>
        <w:spacing w:before="104" w:line="224" w:lineRule="auto"/>
        <w:outlineLvl w:val="0"/>
        <w:rPr>
          <w:rFonts w:hint="eastAsia" w:ascii="黑体" w:hAnsi="黑体" w:eastAsia="黑体" w:cs="黑体"/>
          <w:b w:val="0"/>
          <w:bCs w:val="0"/>
          <w:spacing w:val="22"/>
          <w:sz w:val="32"/>
          <w:szCs w:val="32"/>
          <w:lang w:val="en-US" w:eastAsia="zh-CN"/>
        </w:rPr>
      </w:pPr>
    </w:p>
    <w:p w14:paraId="39940FBD">
      <w:pPr>
        <w:spacing w:before="104" w:line="224" w:lineRule="auto"/>
        <w:jc w:val="center"/>
        <w:outlineLvl w:val="0"/>
        <w:rPr>
          <w:rFonts w:hint="eastAsia" w:ascii="黑体" w:hAnsi="黑体" w:eastAsia="黑体" w:cs="黑体"/>
          <w:b w:val="0"/>
          <w:bCs w:val="0"/>
          <w:spacing w:val="0"/>
          <w:sz w:val="32"/>
          <w:szCs w:val="32"/>
          <w:lang w:val="en-US" w:eastAsia="zh-CN"/>
        </w:rPr>
      </w:pPr>
      <w:r>
        <w:rPr>
          <w:rFonts w:hint="eastAsia" w:ascii="黑体" w:hAnsi="黑体" w:eastAsia="黑体" w:cs="黑体"/>
          <w:b w:val="0"/>
          <w:bCs w:val="0"/>
          <w:spacing w:val="0"/>
          <w:sz w:val="32"/>
          <w:szCs w:val="32"/>
          <w:lang w:val="en-US" w:eastAsia="zh-CN"/>
        </w:rPr>
        <w:t>石城县林业局部门及下属单位综合性涉企收费目录清单</w:t>
      </w:r>
      <w:bookmarkStart w:id="0" w:name="_GoBack"/>
      <w:bookmarkEnd w:id="0"/>
    </w:p>
    <w:tbl>
      <w:tblPr>
        <w:tblStyle w:val="5"/>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986"/>
        <w:gridCol w:w="1459"/>
        <w:gridCol w:w="930"/>
        <w:gridCol w:w="875"/>
        <w:gridCol w:w="1068"/>
        <w:gridCol w:w="1350"/>
        <w:gridCol w:w="2930"/>
        <w:gridCol w:w="1555"/>
        <w:gridCol w:w="1667"/>
        <w:gridCol w:w="760"/>
      </w:tblGrid>
      <w:tr w14:paraId="40555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22C029EC">
            <w:pPr>
              <w:widowControl w:val="0"/>
              <w:jc w:val="center"/>
              <w:rPr>
                <w:rFonts w:hint="eastAsia" w:ascii="宋体" w:hAnsi="宋体" w:eastAsia="宋体" w:cs="宋体"/>
                <w:sz w:val="21"/>
                <w:szCs w:val="21"/>
                <w:vertAlign w:val="baseline"/>
              </w:rPr>
            </w:pPr>
            <w:r>
              <w:rPr>
                <w:rFonts w:hint="eastAsia" w:ascii="宋体" w:hAnsi="宋体" w:eastAsia="宋体" w:cs="宋体"/>
                <w:b w:val="0"/>
                <w:bCs w:val="0"/>
                <w:spacing w:val="-6"/>
                <w:sz w:val="21"/>
                <w:szCs w:val="21"/>
              </w:rPr>
              <w:t>序号</w:t>
            </w:r>
          </w:p>
        </w:tc>
        <w:tc>
          <w:tcPr>
            <w:tcW w:w="986" w:type="dxa"/>
            <w:vAlign w:val="center"/>
          </w:tcPr>
          <w:p w14:paraId="5CA3D672">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部门名称</w:t>
            </w:r>
          </w:p>
        </w:tc>
        <w:tc>
          <w:tcPr>
            <w:tcW w:w="1459" w:type="dxa"/>
            <w:vAlign w:val="center"/>
          </w:tcPr>
          <w:p w14:paraId="7918577A">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收费单位名称</w:t>
            </w:r>
          </w:p>
        </w:tc>
        <w:tc>
          <w:tcPr>
            <w:tcW w:w="930" w:type="dxa"/>
            <w:vAlign w:val="center"/>
          </w:tcPr>
          <w:p w14:paraId="4008B31E">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单位性质</w:t>
            </w:r>
          </w:p>
        </w:tc>
        <w:tc>
          <w:tcPr>
            <w:tcW w:w="875" w:type="dxa"/>
            <w:vAlign w:val="center"/>
          </w:tcPr>
          <w:p w14:paraId="4D8DC190">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收费项目</w:t>
            </w:r>
          </w:p>
        </w:tc>
        <w:tc>
          <w:tcPr>
            <w:tcW w:w="1068" w:type="dxa"/>
            <w:vAlign w:val="center"/>
          </w:tcPr>
          <w:p w14:paraId="3C47893C">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收费性质</w:t>
            </w:r>
          </w:p>
        </w:tc>
        <w:tc>
          <w:tcPr>
            <w:tcW w:w="1350" w:type="dxa"/>
            <w:vAlign w:val="center"/>
          </w:tcPr>
          <w:p w14:paraId="565027E0">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服务内容或涉及事项</w:t>
            </w:r>
          </w:p>
        </w:tc>
        <w:tc>
          <w:tcPr>
            <w:tcW w:w="2930" w:type="dxa"/>
            <w:vAlign w:val="center"/>
          </w:tcPr>
          <w:p w14:paraId="4E60DD3B">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收费标准</w:t>
            </w:r>
          </w:p>
        </w:tc>
        <w:tc>
          <w:tcPr>
            <w:tcW w:w="1555" w:type="dxa"/>
            <w:vAlign w:val="center"/>
          </w:tcPr>
          <w:p w14:paraId="6C335664">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标准制定方式及部门</w:t>
            </w:r>
          </w:p>
        </w:tc>
        <w:tc>
          <w:tcPr>
            <w:tcW w:w="1667" w:type="dxa"/>
            <w:vAlign w:val="center"/>
          </w:tcPr>
          <w:p w14:paraId="7B2E1DB3">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政策依据</w:t>
            </w:r>
          </w:p>
        </w:tc>
        <w:tc>
          <w:tcPr>
            <w:tcW w:w="760" w:type="dxa"/>
            <w:vAlign w:val="center"/>
          </w:tcPr>
          <w:p w14:paraId="493D5822">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备注</w:t>
            </w:r>
          </w:p>
        </w:tc>
      </w:tr>
      <w:tr w14:paraId="2756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8" w:hRule="atLeast"/>
        </w:trPr>
        <w:tc>
          <w:tcPr>
            <w:tcW w:w="819" w:type="dxa"/>
            <w:vAlign w:val="center"/>
          </w:tcPr>
          <w:p w14:paraId="649D1967">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986" w:type="dxa"/>
            <w:vAlign w:val="center"/>
          </w:tcPr>
          <w:p w14:paraId="13DC5A19">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石城县林业局</w:t>
            </w:r>
          </w:p>
        </w:tc>
        <w:tc>
          <w:tcPr>
            <w:tcW w:w="1459" w:type="dxa"/>
            <w:vAlign w:val="center"/>
          </w:tcPr>
          <w:p w14:paraId="4F10D421">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石城县林业局</w:t>
            </w:r>
          </w:p>
        </w:tc>
        <w:tc>
          <w:tcPr>
            <w:tcW w:w="930" w:type="dxa"/>
            <w:vAlign w:val="center"/>
          </w:tcPr>
          <w:p w14:paraId="6EC8BC4F">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政府部门</w:t>
            </w:r>
          </w:p>
        </w:tc>
        <w:tc>
          <w:tcPr>
            <w:tcW w:w="875" w:type="dxa"/>
            <w:vAlign w:val="center"/>
          </w:tcPr>
          <w:p w14:paraId="3B515ED1">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森林植被恢复费</w:t>
            </w:r>
          </w:p>
        </w:tc>
        <w:tc>
          <w:tcPr>
            <w:tcW w:w="1068" w:type="dxa"/>
            <w:vAlign w:val="center"/>
          </w:tcPr>
          <w:p w14:paraId="06A3C7A6">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行政事业性收费</w:t>
            </w:r>
          </w:p>
        </w:tc>
        <w:tc>
          <w:tcPr>
            <w:tcW w:w="1350" w:type="dxa"/>
            <w:vAlign w:val="center"/>
          </w:tcPr>
          <w:p w14:paraId="5B95A24A">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企业需要永久性占用林地审批</w:t>
            </w:r>
          </w:p>
        </w:tc>
        <w:tc>
          <w:tcPr>
            <w:tcW w:w="2930" w:type="dxa"/>
            <w:shd w:val="clear" w:color="auto" w:fill="auto"/>
            <w:vAlign w:val="center"/>
          </w:tcPr>
          <w:p w14:paraId="3A637F7E">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SA"/>
              </w:rPr>
            </w:pPr>
            <w:r>
              <w:rPr>
                <w:rFonts w:hint="eastAsia" w:ascii="宋体" w:hAnsi="宋体" w:eastAsia="宋体" w:cs="宋体"/>
                <w:i w:val="0"/>
                <w:iCs w:val="0"/>
                <w:snapToGrid w:val="0"/>
                <w:color w:val="000000"/>
                <w:kern w:val="0"/>
                <w:sz w:val="21"/>
                <w:szCs w:val="21"/>
                <w:u w:val="none"/>
                <w:lang w:val="en-US" w:eastAsia="zh-CN" w:bidi="ar"/>
              </w:rPr>
              <w:t>赣财非税[2016]3号：（1）郁闭度0.2以上的乔木林地（含采伐迹地、火烧迹地）、竹林地、苗圃地，每平方米10元；灌木林地、疏林地、未成林造林地，每平方米6元；宜林地，每平方米3元。</w:t>
            </w:r>
            <w:r>
              <w:rPr>
                <w:rFonts w:hint="eastAsia" w:ascii="宋体" w:hAnsi="宋体" w:eastAsia="宋体" w:cs="宋体"/>
                <w:i w:val="0"/>
                <w:iCs w:val="0"/>
                <w:snapToGrid w:val="0"/>
                <w:color w:val="000000"/>
                <w:kern w:val="0"/>
                <w:sz w:val="21"/>
                <w:szCs w:val="21"/>
                <w:u w:val="none"/>
                <w:lang w:val="en-US" w:eastAsia="zh-CN" w:bidi="ar"/>
              </w:rPr>
              <w:br w:type="textWrapping"/>
            </w:r>
            <w:r>
              <w:rPr>
                <w:rFonts w:hint="eastAsia" w:ascii="宋体" w:hAnsi="宋体" w:eastAsia="宋体" w:cs="宋体"/>
                <w:i w:val="0"/>
                <w:iCs w:val="0"/>
                <w:snapToGrid w:val="0"/>
                <w:color w:val="000000"/>
                <w:kern w:val="0"/>
                <w:sz w:val="21"/>
                <w:szCs w:val="21"/>
                <w:u w:val="none"/>
                <w:lang w:val="en-US" w:eastAsia="zh-CN" w:bidi="ar"/>
              </w:rPr>
              <w:t>（2）国家和省级公益林林地，按照第（1）款规定征收标准的2倍征收。</w:t>
            </w:r>
            <w:r>
              <w:rPr>
                <w:rFonts w:hint="eastAsia" w:ascii="宋体" w:hAnsi="宋体" w:eastAsia="宋体" w:cs="宋体"/>
                <w:i w:val="0"/>
                <w:iCs w:val="0"/>
                <w:snapToGrid w:val="0"/>
                <w:color w:val="000000"/>
                <w:kern w:val="0"/>
                <w:sz w:val="21"/>
                <w:szCs w:val="21"/>
                <w:u w:val="none"/>
                <w:lang w:val="en-US" w:eastAsia="zh-CN" w:bidi="ar"/>
              </w:rPr>
              <w:br w:type="textWrapping"/>
            </w:r>
            <w:r>
              <w:rPr>
                <w:rFonts w:hint="eastAsia" w:ascii="宋体" w:hAnsi="宋体" w:eastAsia="宋体" w:cs="宋体"/>
                <w:i w:val="0"/>
                <w:iCs w:val="0"/>
                <w:snapToGrid w:val="0"/>
                <w:color w:val="000000"/>
                <w:kern w:val="0"/>
                <w:sz w:val="21"/>
                <w:szCs w:val="21"/>
                <w:u w:val="none"/>
                <w:lang w:val="en-US" w:eastAsia="zh-CN" w:bidi="ar"/>
              </w:rPr>
              <w:t>（3）城市规划区的林地，按照第（1）、（2）款规定征收标准的2倍征收。</w:t>
            </w:r>
            <w:r>
              <w:rPr>
                <w:rFonts w:hint="eastAsia" w:ascii="宋体" w:hAnsi="宋体" w:eastAsia="宋体" w:cs="宋体"/>
                <w:i w:val="0"/>
                <w:iCs w:val="0"/>
                <w:snapToGrid w:val="0"/>
                <w:color w:val="000000"/>
                <w:kern w:val="0"/>
                <w:sz w:val="21"/>
                <w:szCs w:val="21"/>
                <w:u w:val="none"/>
                <w:lang w:val="en-US" w:eastAsia="zh-CN" w:bidi="ar"/>
              </w:rPr>
              <w:br w:type="textWrapping"/>
            </w:r>
            <w:r>
              <w:rPr>
                <w:rFonts w:hint="eastAsia" w:ascii="宋体" w:hAnsi="宋体" w:eastAsia="宋体" w:cs="宋体"/>
                <w:i w:val="0"/>
                <w:iCs w:val="0"/>
                <w:snapToGrid w:val="0"/>
                <w:color w:val="000000"/>
                <w:kern w:val="0"/>
                <w:sz w:val="21"/>
                <w:szCs w:val="21"/>
                <w:u w:val="none"/>
                <w:lang w:val="en-US" w:eastAsia="zh-CN" w:bidi="ar"/>
              </w:rPr>
              <w:t>（4）城市规划区以外的林地，按占用征收林地建设项目性质实行不同征收标准。属于公共基础设施、公共事业和国防建设项目的，按照第（1）、（2）款规定征收标准征收；属于经营性建设项目的，按照第（1）、（2）款规定征收标准2倍征收。</w:t>
            </w:r>
          </w:p>
        </w:tc>
        <w:tc>
          <w:tcPr>
            <w:tcW w:w="1555" w:type="dxa"/>
            <w:vAlign w:val="center"/>
          </w:tcPr>
          <w:p w14:paraId="696799B2">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江西省财政厅、江西省林业厅</w:t>
            </w:r>
          </w:p>
        </w:tc>
        <w:tc>
          <w:tcPr>
            <w:tcW w:w="1667" w:type="dxa"/>
            <w:vAlign w:val="center"/>
          </w:tcPr>
          <w:p w14:paraId="1C41D819">
            <w:pPr>
              <w:pStyle w:val="3"/>
              <w:keepNext w:val="0"/>
              <w:keepLines w:val="0"/>
              <w:widowControl/>
              <w:suppressLineNumbers w:val="0"/>
              <w:rPr>
                <w:rFonts w:hint="eastAsia" w:ascii="宋体" w:hAnsi="宋体" w:eastAsia="宋体" w:cs="宋体"/>
                <w:sz w:val="21"/>
                <w:szCs w:val="21"/>
                <w:vertAlign w:val="baseline"/>
              </w:rPr>
            </w:pPr>
            <w:r>
              <w:rPr>
                <w:rFonts w:hint="eastAsia" w:ascii="宋体" w:hAnsi="宋体" w:eastAsia="宋体" w:cs="宋体"/>
                <w:sz w:val="21"/>
                <w:szCs w:val="21"/>
                <w:lang w:eastAsia="zh-CN"/>
              </w:rPr>
              <w:t>《</w:t>
            </w:r>
            <w:r>
              <w:rPr>
                <w:rFonts w:hint="eastAsia" w:ascii="宋体" w:hAnsi="宋体" w:eastAsia="宋体" w:cs="宋体"/>
                <w:sz w:val="21"/>
                <w:szCs w:val="21"/>
              </w:rPr>
              <w:t>中华人民共和国森林法</w:t>
            </w:r>
            <w:r>
              <w:rPr>
                <w:rFonts w:hint="eastAsia" w:ascii="宋体" w:hAnsi="宋体" w:eastAsia="宋体" w:cs="宋体"/>
                <w:sz w:val="21"/>
                <w:szCs w:val="21"/>
                <w:lang w:eastAsia="zh-CN"/>
              </w:rPr>
              <w:t>》</w:t>
            </w:r>
            <w:r>
              <w:rPr>
                <w:rFonts w:hint="eastAsia" w:ascii="宋体" w:hAnsi="宋体" w:eastAsia="宋体" w:cs="宋体"/>
                <w:sz w:val="21"/>
                <w:szCs w:val="21"/>
              </w:rPr>
              <w:t>第三十七条</w:t>
            </w:r>
            <w:r>
              <w:rPr>
                <w:rFonts w:hint="eastAsia" w:ascii="宋体" w:hAnsi="宋体" w:eastAsia="宋体" w:cs="宋体"/>
                <w:sz w:val="21"/>
                <w:szCs w:val="21"/>
                <w:lang w:val="en-US" w:eastAsia="zh-CN"/>
              </w:rPr>
              <w:t>第二款</w:t>
            </w:r>
            <w:r>
              <w:rPr>
                <w:rFonts w:hint="eastAsia" w:ascii="宋体" w:hAnsi="宋体" w:eastAsia="宋体" w:cs="宋体"/>
                <w:sz w:val="21"/>
                <w:szCs w:val="21"/>
              </w:rPr>
              <w:t>占用林地的单位应当缴纳森林植被恢复费。森林植被恢复费征收使用管理办法由国务院财政部门会同林业主管部门制定。</w:t>
            </w:r>
          </w:p>
        </w:tc>
        <w:tc>
          <w:tcPr>
            <w:tcW w:w="760" w:type="dxa"/>
            <w:vAlign w:val="center"/>
          </w:tcPr>
          <w:p w14:paraId="74EED2F6">
            <w:pPr>
              <w:widowControl w:val="0"/>
              <w:jc w:val="center"/>
              <w:rPr>
                <w:rFonts w:hint="eastAsia" w:ascii="宋体" w:hAnsi="宋体" w:eastAsia="宋体" w:cs="宋体"/>
                <w:sz w:val="21"/>
                <w:szCs w:val="21"/>
                <w:vertAlign w:val="baseline"/>
              </w:rPr>
            </w:pPr>
          </w:p>
        </w:tc>
      </w:tr>
      <w:tr w14:paraId="72E2B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14:paraId="5467310E">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986" w:type="dxa"/>
            <w:vAlign w:val="center"/>
          </w:tcPr>
          <w:p w14:paraId="5BADC85E">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石城县林业局</w:t>
            </w:r>
          </w:p>
        </w:tc>
        <w:tc>
          <w:tcPr>
            <w:tcW w:w="1459" w:type="dxa"/>
            <w:vAlign w:val="center"/>
          </w:tcPr>
          <w:p w14:paraId="34235C95">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石城县林业局</w:t>
            </w:r>
          </w:p>
        </w:tc>
        <w:tc>
          <w:tcPr>
            <w:tcW w:w="930" w:type="dxa"/>
            <w:vAlign w:val="center"/>
          </w:tcPr>
          <w:p w14:paraId="21802365">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政府部门</w:t>
            </w:r>
          </w:p>
        </w:tc>
        <w:tc>
          <w:tcPr>
            <w:tcW w:w="875" w:type="dxa"/>
            <w:vAlign w:val="center"/>
          </w:tcPr>
          <w:p w14:paraId="04544D65">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保障恢复林业生产条件的费用</w:t>
            </w:r>
          </w:p>
        </w:tc>
        <w:tc>
          <w:tcPr>
            <w:tcW w:w="1068" w:type="dxa"/>
            <w:vAlign w:val="center"/>
          </w:tcPr>
          <w:p w14:paraId="55B4F59D">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银行保函</w:t>
            </w:r>
          </w:p>
        </w:tc>
        <w:tc>
          <w:tcPr>
            <w:tcW w:w="1350" w:type="dxa"/>
            <w:vAlign w:val="center"/>
          </w:tcPr>
          <w:p w14:paraId="7F920AA6">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企业需要临时占用林地审批</w:t>
            </w:r>
          </w:p>
        </w:tc>
        <w:tc>
          <w:tcPr>
            <w:tcW w:w="2930" w:type="dxa"/>
            <w:vAlign w:val="center"/>
          </w:tcPr>
          <w:p w14:paraId="088F4EC1">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snapToGrid w:val="0"/>
                <w:color w:val="000000"/>
                <w:kern w:val="0"/>
                <w:sz w:val="21"/>
                <w:szCs w:val="21"/>
                <w:u w:val="none"/>
                <w:lang w:val="en-US" w:eastAsia="zh-CN" w:bidi="ar"/>
              </w:rPr>
              <w:t>参照赣财非税[2016]3号：（1）郁闭度0.2以上的乔木林地（含采伐迹地、火烧迹地）、竹林地、苗圃地，每平方米10元；灌木林地、疏林地、未成林造林地，每平方米6元；宜林地，每平方米3元。</w:t>
            </w:r>
            <w:r>
              <w:rPr>
                <w:rFonts w:hint="eastAsia" w:ascii="宋体" w:hAnsi="宋体" w:eastAsia="宋体" w:cs="宋体"/>
                <w:i w:val="0"/>
                <w:iCs w:val="0"/>
                <w:snapToGrid w:val="0"/>
                <w:color w:val="000000"/>
                <w:kern w:val="0"/>
                <w:sz w:val="21"/>
                <w:szCs w:val="21"/>
                <w:u w:val="none"/>
                <w:lang w:val="en-US" w:eastAsia="zh-CN" w:bidi="ar"/>
              </w:rPr>
              <w:br w:type="textWrapping"/>
            </w:r>
            <w:r>
              <w:rPr>
                <w:rFonts w:hint="eastAsia" w:ascii="宋体" w:hAnsi="宋体" w:eastAsia="宋体" w:cs="宋体"/>
                <w:i w:val="0"/>
                <w:iCs w:val="0"/>
                <w:snapToGrid w:val="0"/>
                <w:color w:val="000000"/>
                <w:kern w:val="0"/>
                <w:sz w:val="21"/>
                <w:szCs w:val="21"/>
                <w:u w:val="none"/>
                <w:lang w:val="en-US" w:eastAsia="zh-CN" w:bidi="ar"/>
              </w:rPr>
              <w:t>（2）国家和省级公益林林地，按照第（1）款规定征收标准的2倍征收。</w:t>
            </w:r>
            <w:r>
              <w:rPr>
                <w:rFonts w:hint="eastAsia" w:ascii="宋体" w:hAnsi="宋体" w:eastAsia="宋体" w:cs="宋体"/>
                <w:i w:val="0"/>
                <w:iCs w:val="0"/>
                <w:snapToGrid w:val="0"/>
                <w:color w:val="000000"/>
                <w:kern w:val="0"/>
                <w:sz w:val="21"/>
                <w:szCs w:val="21"/>
                <w:u w:val="none"/>
                <w:lang w:val="en-US" w:eastAsia="zh-CN" w:bidi="ar"/>
              </w:rPr>
              <w:br w:type="textWrapping"/>
            </w:r>
            <w:r>
              <w:rPr>
                <w:rFonts w:hint="eastAsia" w:ascii="宋体" w:hAnsi="宋体" w:eastAsia="宋体" w:cs="宋体"/>
                <w:i w:val="0"/>
                <w:iCs w:val="0"/>
                <w:snapToGrid w:val="0"/>
                <w:color w:val="000000"/>
                <w:kern w:val="0"/>
                <w:sz w:val="21"/>
                <w:szCs w:val="21"/>
                <w:u w:val="none"/>
                <w:lang w:val="en-US" w:eastAsia="zh-CN" w:bidi="ar"/>
              </w:rPr>
              <w:t>（3）城市规划区的林地，按照第（1）、（2）款规定征收标准的2倍征收。</w:t>
            </w:r>
            <w:r>
              <w:rPr>
                <w:rFonts w:hint="eastAsia" w:ascii="宋体" w:hAnsi="宋体" w:eastAsia="宋体" w:cs="宋体"/>
                <w:i w:val="0"/>
                <w:iCs w:val="0"/>
                <w:snapToGrid w:val="0"/>
                <w:color w:val="000000"/>
                <w:kern w:val="0"/>
                <w:sz w:val="21"/>
                <w:szCs w:val="21"/>
                <w:u w:val="none"/>
                <w:lang w:val="en-US" w:eastAsia="zh-CN" w:bidi="ar"/>
              </w:rPr>
              <w:br w:type="textWrapping"/>
            </w:r>
            <w:r>
              <w:rPr>
                <w:rFonts w:hint="eastAsia" w:ascii="宋体" w:hAnsi="宋体" w:eastAsia="宋体" w:cs="宋体"/>
                <w:i w:val="0"/>
                <w:iCs w:val="0"/>
                <w:snapToGrid w:val="0"/>
                <w:color w:val="000000"/>
                <w:kern w:val="0"/>
                <w:sz w:val="21"/>
                <w:szCs w:val="21"/>
                <w:u w:val="none"/>
                <w:lang w:val="en-US" w:eastAsia="zh-CN" w:bidi="ar"/>
              </w:rPr>
              <w:t>（4）城市规划区以外的林地，按占用征收林地建设项目性质实行不同征收标准。属于公共基础设施、公共事业和国防建设项目的，按照第（1）、（2）款规定征收标准征收；属于经营性建设项目的，按照第（1）、（2）款规定征收标准2倍征收。</w:t>
            </w:r>
          </w:p>
          <w:p w14:paraId="1C97A768">
            <w:pPr>
              <w:widowControl w:val="0"/>
              <w:jc w:val="center"/>
              <w:rPr>
                <w:rFonts w:hint="eastAsia" w:ascii="宋体" w:hAnsi="宋体" w:eastAsia="宋体" w:cs="宋体"/>
                <w:sz w:val="21"/>
                <w:szCs w:val="21"/>
                <w:vertAlign w:val="baseline"/>
                <w:lang w:val="en-US" w:eastAsia="zh-CN"/>
              </w:rPr>
            </w:pPr>
          </w:p>
          <w:p w14:paraId="271DF090">
            <w:pPr>
              <w:widowControl w:val="0"/>
              <w:jc w:val="center"/>
              <w:rPr>
                <w:rFonts w:hint="eastAsia" w:ascii="宋体" w:hAnsi="宋体" w:eastAsia="宋体" w:cs="宋体"/>
                <w:sz w:val="21"/>
                <w:szCs w:val="21"/>
                <w:vertAlign w:val="baseline"/>
                <w:lang w:val="en-US" w:eastAsia="zh-CN"/>
              </w:rPr>
            </w:pPr>
          </w:p>
        </w:tc>
        <w:tc>
          <w:tcPr>
            <w:tcW w:w="1555" w:type="dxa"/>
            <w:vAlign w:val="center"/>
          </w:tcPr>
          <w:p w14:paraId="440406D5">
            <w:pPr>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江西省自然资源厅、江西省林业局</w:t>
            </w:r>
          </w:p>
        </w:tc>
        <w:tc>
          <w:tcPr>
            <w:tcW w:w="1667" w:type="dxa"/>
            <w:vAlign w:val="center"/>
          </w:tcPr>
          <w:p w14:paraId="42350329">
            <w:pPr>
              <w:widowControl w:val="0"/>
              <w:jc w:val="center"/>
              <w:rPr>
                <w:rFonts w:hint="eastAsia" w:ascii="宋体" w:hAnsi="宋体" w:eastAsia="宋体" w:cs="宋体"/>
                <w:sz w:val="21"/>
                <w:szCs w:val="21"/>
                <w:vertAlign w:val="baseline"/>
              </w:rPr>
            </w:pPr>
            <w:r>
              <w:rPr>
                <w:rFonts w:hint="eastAsia" w:ascii="宋体" w:hAnsi="宋体" w:eastAsia="宋体" w:cs="宋体"/>
                <w:sz w:val="21"/>
                <w:szCs w:val="21"/>
                <w:lang w:val="en-US" w:eastAsia="zh-CN"/>
              </w:rPr>
              <w:t>1.</w:t>
            </w:r>
            <w:r>
              <w:rPr>
                <w:rFonts w:hint="eastAsia" w:ascii="宋体" w:hAnsi="宋体" w:eastAsia="宋体" w:cs="宋体"/>
                <w:sz w:val="21"/>
                <w:szCs w:val="21"/>
              </w:rPr>
              <w:t>中华人民共和国森林法</w:t>
            </w:r>
            <w:r>
              <w:rPr>
                <w:rFonts w:hint="eastAsia" w:ascii="宋体" w:hAnsi="宋体" w:eastAsia="宋体" w:cs="宋体"/>
                <w:sz w:val="21"/>
                <w:szCs w:val="21"/>
                <w:lang w:eastAsia="zh-CN"/>
              </w:rPr>
              <w:t>》</w:t>
            </w:r>
            <w:r>
              <w:rPr>
                <w:rFonts w:hint="eastAsia" w:ascii="宋体" w:hAnsi="宋体" w:eastAsia="宋体" w:cs="宋体"/>
                <w:sz w:val="21"/>
                <w:szCs w:val="21"/>
              </w:rPr>
              <w:t>第三十</w:t>
            </w:r>
            <w:r>
              <w:rPr>
                <w:rFonts w:hint="eastAsia" w:ascii="宋体" w:hAnsi="宋体" w:eastAsia="宋体" w:cs="宋体"/>
                <w:sz w:val="21"/>
                <w:szCs w:val="21"/>
                <w:lang w:val="en-US" w:eastAsia="zh-CN"/>
              </w:rPr>
              <w:t>八</w:t>
            </w:r>
            <w:r>
              <w:rPr>
                <w:rFonts w:hint="eastAsia" w:ascii="宋体" w:hAnsi="宋体" w:eastAsia="宋体" w:cs="宋体"/>
                <w:sz w:val="21"/>
                <w:szCs w:val="21"/>
              </w:rPr>
              <w:t>条</w:t>
            </w:r>
            <w:r>
              <w:rPr>
                <w:rFonts w:hint="eastAsia" w:ascii="宋体" w:hAnsi="宋体" w:eastAsia="宋体" w:cs="宋体"/>
                <w:sz w:val="21"/>
                <w:szCs w:val="21"/>
                <w:lang w:val="en-US" w:eastAsia="zh-CN"/>
              </w:rPr>
              <w:t>第二款</w:t>
            </w:r>
            <w:r>
              <w:rPr>
                <w:rFonts w:hint="eastAsia" w:ascii="宋体" w:hAnsi="宋体" w:eastAsia="宋体" w:cs="宋体"/>
                <w:sz w:val="21"/>
                <w:szCs w:val="21"/>
              </w:rPr>
              <w:t>临时使用林地期满后一年内，用地单位或者个人应当恢复植被和林业生产条件。</w:t>
            </w:r>
            <w:r>
              <w:rPr>
                <w:rFonts w:hint="eastAsia" w:ascii="宋体" w:hAnsi="宋体" w:eastAsia="宋体" w:cs="宋体"/>
                <w:sz w:val="21"/>
                <w:szCs w:val="21"/>
                <w:lang w:val="en-US" w:eastAsia="zh-CN"/>
              </w:rPr>
              <w:t>2.</w:t>
            </w:r>
            <w:r>
              <w:rPr>
                <w:rFonts w:hint="eastAsia" w:ascii="宋体" w:hAnsi="宋体" w:eastAsia="宋体" w:cs="宋体"/>
                <w:sz w:val="21"/>
                <w:szCs w:val="21"/>
                <w:vertAlign w:val="baseline"/>
                <w:lang w:val="en-US" w:eastAsia="zh-CN"/>
              </w:rPr>
              <w:t>赣自然资字[2024]5号</w:t>
            </w:r>
          </w:p>
        </w:tc>
        <w:tc>
          <w:tcPr>
            <w:tcW w:w="760" w:type="dxa"/>
            <w:vAlign w:val="center"/>
          </w:tcPr>
          <w:p w14:paraId="4F691BD0">
            <w:pPr>
              <w:widowControl w:val="0"/>
              <w:jc w:val="center"/>
              <w:rPr>
                <w:rFonts w:hint="eastAsia" w:ascii="宋体" w:hAnsi="宋体" w:eastAsia="宋体" w:cs="宋体"/>
                <w:sz w:val="21"/>
                <w:szCs w:val="21"/>
                <w:vertAlign w:val="baseline"/>
              </w:rPr>
            </w:pPr>
          </w:p>
        </w:tc>
      </w:tr>
    </w:tbl>
    <w:p w14:paraId="6BDBA51B">
      <w:pPr>
        <w:rPr>
          <w:rFonts w:hint="eastAsia" w:ascii="仿宋" w:hAnsi="仿宋" w:eastAsia="仿宋" w:cs="仿宋"/>
          <w:sz w:val="32"/>
          <w:szCs w:val="32"/>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52F31"/>
    <w:rsid w:val="05452F31"/>
    <w:rsid w:val="0B632116"/>
    <w:rsid w:val="0E1E0ACC"/>
    <w:rsid w:val="1C4A1A87"/>
    <w:rsid w:val="1CAD6B0C"/>
    <w:rsid w:val="28C02EC2"/>
    <w:rsid w:val="37990D3D"/>
    <w:rsid w:val="44390CF2"/>
    <w:rsid w:val="4F522A55"/>
    <w:rsid w:val="582A3970"/>
    <w:rsid w:val="5EF17565"/>
    <w:rsid w:val="5F6744E4"/>
    <w:rsid w:val="63974B7F"/>
    <w:rsid w:val="690C05C4"/>
    <w:rsid w:val="6C293C1E"/>
    <w:rsid w:val="70AE0922"/>
    <w:rsid w:val="737D395E"/>
    <w:rsid w:val="79350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863</Words>
  <Characters>889</Characters>
  <Lines>0</Lines>
  <Paragraphs>0</Paragraphs>
  <TotalTime>6</TotalTime>
  <ScaleCrop>false</ScaleCrop>
  <LinksUpToDate>false</LinksUpToDate>
  <CharactersWithSpaces>889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2025-07-02T09:24:00Z</dcterms:created>
  <dc:creator>啊熊！</dc:creator>
  <cp:lastModifiedBy>幸福的样子</cp:lastModifiedBy>
  <dcterms:modified xsi:type="dcterms:W3CDTF">2025-08-04T08:03:17Z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C4B32EDF352C444BA7E8DC0271D31436_11</vt:lpwstr>
  </property>
  <property fmtid="{D5CDD505-2E9C-101B-9397-08002B2CF9AE}" pid="4" name="KSOTemplateDocerSaveRecord">
    <vt:lpwstr>eyJoZGlkIjoiNDQyM2Y5Y2M4ZjYwYThlNDFjN2JkOTA1MzNiZmY3YmMiLCJ1c2VySWQiOiI4MDA4Nzg3MDYifQ==</vt:lpwstr>
  </property>
</Properties>
</file>