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hint="eastAsia" w:ascii="黑体" w:eastAsia="黑体"/>
          <w:color w:val="auto"/>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center"/>
        <w:textAlignment w:val="auto"/>
        <w:outlineLvl w:val="9"/>
        <w:rPr>
          <w:rFonts w:hint="eastAsia" w:ascii="黑体" w:eastAsia="黑体"/>
          <w:color w:val="auto"/>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黑体" w:eastAsia="黑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黑体" w:eastAsia="黑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黑体" w:eastAsia="黑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eastAsia" w:ascii="黑体" w:eastAsia="黑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黑体" w:eastAsia="黑体"/>
          <w:color w:val="auto"/>
          <w:sz w:val="36"/>
          <w:szCs w:val="36"/>
        </w:rPr>
      </w:pPr>
    </w:p>
    <w:p>
      <w:pPr>
        <w:pStyle w:val="22"/>
        <w:rPr>
          <w:rFonts w:hint="eastAsia"/>
        </w:rPr>
      </w:pPr>
    </w:p>
    <w:p>
      <w:pPr>
        <w:keepNext w:val="0"/>
        <w:keepLines w:val="0"/>
        <w:pageBreakBefore w:val="0"/>
        <w:widowControl w:val="0"/>
        <w:kinsoku/>
        <w:wordWrap/>
        <w:overflowPunct/>
        <w:topLinePunct w:val="0"/>
        <w:autoSpaceDE/>
        <w:autoSpaceDN/>
        <w:bidi w:val="0"/>
        <w:adjustRightInd/>
        <w:snapToGrid/>
        <w:spacing w:after="312" w:afterLines="100" w:line="580" w:lineRule="exact"/>
        <w:jc w:val="center"/>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石安</w:t>
      </w:r>
      <w:r>
        <w:rPr>
          <w:rFonts w:hint="eastAsia" w:ascii="仿宋_GB2312" w:hAnsi="仿宋_GB2312" w:eastAsia="仿宋_GB2312" w:cs="仿宋_GB2312"/>
          <w:color w:val="auto"/>
          <w:sz w:val="32"/>
          <w:szCs w:val="32"/>
          <w:lang w:val="en-US" w:eastAsia="zh-CN"/>
        </w:rPr>
        <w:t>办</w:t>
      </w:r>
      <w:r>
        <w:rPr>
          <w:rFonts w:hint="eastAsia" w:ascii="仿宋_GB2312" w:hAnsi="仿宋_GB2312" w:eastAsia="仿宋_GB2312" w:cs="仿宋_GB2312"/>
          <w:color w:val="auto"/>
          <w:sz w:val="32"/>
          <w:szCs w:val="32"/>
        </w:rPr>
        <w:t>发</w:t>
      </w:r>
      <w:bookmarkStart w:id="0" w:name="OLE_LINK2"/>
      <w:r>
        <w:rPr>
          <w:rFonts w:hint="eastAsia" w:ascii="仿宋_GB2312" w:hAnsi="仿宋_GB2312" w:eastAsia="仿宋_GB2312" w:cs="仿宋_GB2312"/>
          <w:color w:val="auto"/>
          <w:spacing w:val="-6"/>
          <w:sz w:val="32"/>
          <w:szCs w:val="32"/>
          <w:lang w:val="en-US" w:eastAsia="zh-CN"/>
        </w:rPr>
        <w:t>〔2024〕</w:t>
      </w:r>
      <w:bookmarkEnd w:id="0"/>
      <w:r>
        <w:rPr>
          <w:rFonts w:hint="eastAsia" w:ascii="仿宋_GB2312" w:hAnsi="仿宋_GB2312" w:eastAsia="仿宋_GB2312" w:cs="仿宋_GB2312"/>
          <w:color w:val="auto"/>
          <w:spacing w:val="-6"/>
          <w:sz w:val="32"/>
          <w:szCs w:val="32"/>
          <w:lang w:val="en-US" w:eastAsia="zh-CN"/>
        </w:rPr>
        <w:t>26</w:t>
      </w:r>
      <w:r>
        <w:rPr>
          <w:rFonts w:hint="eastAsia" w:ascii="仿宋_GB2312" w:hAnsi="仿宋_GB2312" w:eastAsia="仿宋_GB2312" w:cs="仿宋_GB2312"/>
          <w:color w:val="auto"/>
          <w:sz w:val="32"/>
          <w:szCs w:val="32"/>
        </w:rPr>
        <w:t>号</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9"/>
        <w:rPr>
          <w:rFonts w:hint="eastAsia" w:ascii="方正小标宋简体" w:hAnsi="方正小标宋简体" w:eastAsia="方正小标宋简体" w:cs="方正小标宋简体"/>
          <w:b w:val="0"/>
          <w:bCs w:val="0"/>
          <w:color w:val="auto"/>
          <w:spacing w:val="-6"/>
          <w:sz w:val="44"/>
          <w:szCs w:val="44"/>
          <w:lang w:eastAsia="zh-CN"/>
        </w:rPr>
      </w:pPr>
    </w:p>
    <w:p>
      <w:pPr>
        <w:pStyle w:val="2"/>
        <w:keepNext w:val="0"/>
        <w:keepLines w:val="0"/>
        <w:pageBreakBefore w:val="0"/>
        <w:widowControl/>
        <w:kinsoku/>
        <w:wordWrap/>
        <w:overflowPunct/>
        <w:topLinePunct w:val="0"/>
        <w:autoSpaceDE/>
        <w:autoSpaceDN/>
        <w:bidi w:val="0"/>
        <w:adjustRightInd/>
        <w:snapToGrid/>
        <w:spacing w:before="0" w:beforeLines="0" w:after="0" w:afterLines="0" w:line="560" w:lineRule="exact"/>
        <w:ind w:left="0" w:right="0"/>
        <w:jc w:val="center"/>
        <w:textAlignment w:val="baseline"/>
        <w:rPr>
          <w:rFonts w:hint="eastAsia" w:ascii="方正小标宋简体" w:hAnsi="方正小标宋简体" w:eastAsia="方正小标宋简体" w:cs="方正小标宋简体"/>
          <w:b w:val="0"/>
          <w:bCs/>
          <w:spacing w:val="0"/>
          <w:w w:val="95"/>
          <w:lang w:val="en-US" w:eastAsia="zh-CN"/>
        </w:rPr>
      </w:pPr>
      <w:r>
        <w:rPr>
          <w:rFonts w:hint="eastAsia" w:ascii="方正小标宋简体" w:hAnsi="方正小标宋简体" w:eastAsia="方正小标宋简体" w:cs="方正小标宋简体"/>
          <w:b w:val="0"/>
          <w:bCs/>
          <w:spacing w:val="-11"/>
          <w:sz w:val="44"/>
          <w:szCs w:val="44"/>
          <w:lang w:val="en-US" w:eastAsia="zh-CN"/>
        </w:rPr>
        <w:t>石城县安委会办公室</w:t>
      </w:r>
      <w:r>
        <w:rPr>
          <w:rFonts w:hint="eastAsia" w:ascii="方正小标宋简体" w:hAnsi="方正小标宋简体" w:eastAsia="方正小标宋简体" w:cs="方正小标宋简体"/>
          <w:b w:val="0"/>
          <w:bCs/>
          <w:color w:val="auto"/>
          <w:sz w:val="44"/>
          <w:szCs w:val="44"/>
          <w:lang w:eastAsia="zh-CN"/>
        </w:rPr>
        <w:t>关于印发</w:t>
      </w:r>
      <w:r>
        <w:rPr>
          <w:rFonts w:hint="eastAsia" w:ascii="方正小标宋简体" w:hAnsi="方正小标宋简体" w:eastAsia="方正小标宋简体" w:cs="方正小标宋简体"/>
          <w:b w:val="0"/>
          <w:bCs/>
          <w:spacing w:val="0"/>
          <w:w w:val="95"/>
          <w:lang w:val="en-US" w:eastAsia="zh-CN"/>
        </w:rPr>
        <w:t>石城县安全生产治本攻坚三年行动2024年度重点</w:t>
      </w:r>
    </w:p>
    <w:p>
      <w:pPr>
        <w:pStyle w:val="2"/>
        <w:keepNext w:val="0"/>
        <w:keepLines w:val="0"/>
        <w:pageBreakBefore w:val="0"/>
        <w:widowControl/>
        <w:kinsoku/>
        <w:wordWrap/>
        <w:overflowPunct/>
        <w:topLinePunct w:val="0"/>
        <w:autoSpaceDE/>
        <w:autoSpaceDN/>
        <w:bidi w:val="0"/>
        <w:adjustRightInd/>
        <w:snapToGrid/>
        <w:spacing w:before="0" w:beforeLines="0" w:after="0" w:afterLines="0" w:line="560" w:lineRule="exact"/>
        <w:ind w:left="0" w:right="0"/>
        <w:jc w:val="center"/>
        <w:textAlignment w:val="baseline"/>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pacing w:val="0"/>
          <w:w w:val="95"/>
          <w:lang w:val="en-US" w:eastAsia="zh-CN"/>
        </w:rPr>
        <w:t>任务清单</w:t>
      </w:r>
      <w:r>
        <w:rPr>
          <w:rFonts w:hint="eastAsia" w:ascii="方正小标宋简体" w:hAnsi="方正小标宋简体" w:eastAsia="方正小标宋简体" w:cs="方正小标宋简体"/>
          <w:b w:val="0"/>
          <w:bCs/>
          <w:color w:val="000000"/>
          <w:sz w:val="44"/>
          <w:szCs w:val="44"/>
          <w:lang w:val="en-US" w:eastAsia="zh-CN"/>
        </w:rPr>
        <w:t>的</w:t>
      </w:r>
      <w:r>
        <w:rPr>
          <w:rFonts w:hint="eastAsia" w:ascii="方正小标宋简体" w:hAnsi="方正小标宋简体" w:eastAsia="方正小标宋简体" w:cs="方正小标宋简体"/>
          <w:b w:val="0"/>
          <w:bCs/>
          <w:color w:val="000000"/>
          <w:sz w:val="44"/>
          <w:szCs w:val="44"/>
          <w:lang w:eastAsia="zh-CN"/>
        </w:rPr>
        <w:t>通知</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val="0"/>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6"/>
          <w:sz w:val="32"/>
          <w:szCs w:val="32"/>
          <w14:textFill>
            <w14:solidFill>
              <w14:schemeClr w14:val="tx1"/>
            </w14:solidFill>
          </w14:textFill>
        </w:rPr>
        <w:t>各乡</w:t>
      </w:r>
      <w:r>
        <w:rPr>
          <w:rFonts w:hint="eastAsia" w:ascii="仿宋_GB2312" w:hAnsi="仿宋_GB2312" w:eastAsia="仿宋_GB2312" w:cs="仿宋_GB2312"/>
          <w:color w:val="000000" w:themeColor="text1"/>
          <w:spacing w:val="-6"/>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6"/>
          <w:sz w:val="32"/>
          <w:szCs w:val="32"/>
          <w14:textFill>
            <w14:solidFill>
              <w14:schemeClr w14:val="tx1"/>
            </w14:solidFill>
          </w14:textFill>
        </w:rPr>
        <w:t>镇</w:t>
      </w:r>
      <w:r>
        <w:rPr>
          <w:rFonts w:hint="eastAsia" w:ascii="仿宋_GB2312" w:hAnsi="仿宋_GB2312" w:eastAsia="仿宋_GB2312" w:cs="仿宋_GB2312"/>
          <w:color w:val="000000" w:themeColor="text1"/>
          <w:spacing w:val="-6"/>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6"/>
          <w:sz w:val="32"/>
          <w:szCs w:val="32"/>
          <w14:textFill>
            <w14:solidFill>
              <w14:schemeClr w14:val="tx1"/>
            </w14:solidFill>
          </w14:textFill>
        </w:rPr>
        <w:t>人民政府</w:t>
      </w:r>
      <w:r>
        <w:rPr>
          <w:rFonts w:hint="eastAsia" w:ascii="仿宋_GB2312" w:hAnsi="仿宋_GB2312" w:eastAsia="仿宋_GB2312" w:cs="仿宋_GB2312"/>
          <w:color w:val="000000" w:themeColor="text1"/>
          <w:spacing w:val="-6"/>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6"/>
          <w:sz w:val="32"/>
          <w:szCs w:val="32"/>
          <w14:textFill>
            <w14:solidFill>
              <w14:schemeClr w14:val="tx1"/>
            </w14:solidFill>
          </w14:textFill>
        </w:rPr>
        <w:t>县城市社区管委会</w:t>
      </w:r>
      <w:r>
        <w:rPr>
          <w:rFonts w:hint="eastAsia" w:ascii="仿宋_GB2312" w:hAnsi="仿宋_GB2312" w:eastAsia="仿宋_GB2312" w:cs="仿宋_GB2312"/>
          <w:color w:val="000000" w:themeColor="text1"/>
          <w:spacing w:val="-6"/>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6"/>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spacing w:val="-6"/>
          <w:sz w:val="32"/>
          <w:szCs w:val="32"/>
          <w14:textFill>
            <w14:solidFill>
              <w14:schemeClr w14:val="tx1"/>
            </w14:solidFill>
          </w14:textFill>
        </w:rPr>
        <w:t>安委会</w:t>
      </w:r>
      <w:r>
        <w:rPr>
          <w:rFonts w:hint="eastAsia" w:ascii="仿宋_GB2312" w:hAnsi="仿宋_GB2312" w:eastAsia="仿宋_GB2312" w:cs="仿宋_GB2312"/>
          <w:color w:val="000000" w:themeColor="text1"/>
          <w:spacing w:val="-6"/>
          <w:sz w:val="32"/>
          <w:szCs w:val="32"/>
          <w:lang w:eastAsia="zh-CN"/>
          <w14:textFill>
            <w14:solidFill>
              <w14:schemeClr w14:val="tx1"/>
            </w14:solidFill>
          </w14:textFill>
        </w:rPr>
        <w:t>各</w:t>
      </w:r>
      <w:r>
        <w:rPr>
          <w:rFonts w:hint="eastAsia" w:ascii="仿宋_GB2312" w:hAnsi="仿宋_GB2312" w:eastAsia="仿宋_GB2312" w:cs="仿宋_GB2312"/>
          <w:color w:val="000000" w:themeColor="text1"/>
          <w:spacing w:val="-6"/>
          <w:sz w:val="32"/>
          <w:szCs w:val="32"/>
          <w14:textFill>
            <w14:solidFill>
              <w14:schemeClr w14:val="tx1"/>
            </w14:solidFill>
          </w14:textFill>
        </w:rPr>
        <w:t>成员单位</w:t>
      </w:r>
      <w:r>
        <w:rPr>
          <w:rFonts w:hint="eastAsia" w:ascii="仿宋_GB2312" w:hAnsi="仿宋_GB2312" w:eastAsia="仿宋_GB2312" w:cs="仿宋_GB2312"/>
          <w:color w:val="000000" w:themeColor="text1"/>
          <w:spacing w:val="-6"/>
          <w:sz w:val="32"/>
          <w:szCs w:val="32"/>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为扎实推进全县治本攻坚三年行动任务落实，近期县安委办牵头梳理汇总了县</w:t>
      </w:r>
      <w:r>
        <w:rPr>
          <w:rFonts w:hint="eastAsia" w:ascii="仿宋_GB2312" w:hAnsi="仿宋_GB2312" w:eastAsia="仿宋_GB2312" w:cs="仿宋_GB2312"/>
          <w:color w:val="auto"/>
          <w:kern w:val="0"/>
          <w:sz w:val="32"/>
          <w:szCs w:val="32"/>
          <w:lang w:val="en-US" w:eastAsia="zh-CN" w:bidi="ar-SA"/>
        </w:rPr>
        <w:t>本级26个重点行业领域治本攻坚三年行动82项年度重点任务措施</w:t>
      </w:r>
      <w:r>
        <w:rPr>
          <w:rFonts w:hint="eastAsia" w:ascii="仿宋_GB2312" w:hAnsi="仿宋_GB2312" w:eastAsia="仿宋_GB2312" w:cs="仿宋_GB2312"/>
          <w:kern w:val="0"/>
          <w:sz w:val="32"/>
          <w:szCs w:val="32"/>
          <w:lang w:val="en-US" w:eastAsia="zh-CN" w:bidi="ar-SA"/>
        </w:rPr>
        <w:t>，</w:t>
      </w:r>
      <w:r>
        <w:rPr>
          <w:rFonts w:hint="eastAsia" w:ascii="仿宋_GB2312" w:hAnsi="仿宋_GB2312" w:eastAsia="仿宋_GB2312" w:cs="仿宋_GB2312"/>
          <w:kern w:val="0"/>
          <w:sz w:val="32"/>
          <w:szCs w:val="32"/>
          <w:u w:val="none"/>
          <w:lang w:eastAsia="zh-CN"/>
        </w:rPr>
        <w:t>形成了</w:t>
      </w:r>
      <w:r>
        <w:rPr>
          <w:rFonts w:hint="eastAsia" w:ascii="仿宋_GB2312" w:hAnsi="仿宋_GB2312" w:eastAsia="仿宋_GB2312" w:cs="仿宋_GB2312"/>
          <w:kern w:val="0"/>
          <w:sz w:val="32"/>
          <w:szCs w:val="32"/>
          <w:lang w:val="en-US" w:eastAsia="zh-CN" w:bidi="ar-SA"/>
        </w:rPr>
        <w:t>《石城县安全生产治本攻坚三年行动2024年度重点任务清单》（以下简称《年度任务清单》），现印发给你们，并提出如下要求，请认真抓好贯彻落实。</w:t>
      </w:r>
    </w:p>
    <w:p>
      <w:pPr>
        <w:keepNext w:val="0"/>
        <w:keepLines w:val="0"/>
        <w:pageBreakBefore w:val="0"/>
        <w:widowControl w:val="0"/>
        <w:kinsoku/>
        <w:wordWrap/>
        <w:overflowPunct/>
        <w:topLinePunct w:val="0"/>
        <w:autoSpaceDE/>
        <w:autoSpaceDN/>
        <w:bidi w:val="0"/>
        <w:adjustRightInd w:val="0"/>
        <w:snapToGrid/>
        <w:spacing w:line="560" w:lineRule="exact"/>
        <w:ind w:left="0" w:leftChars="0" w:firstLine="640" w:firstLineChars="200"/>
        <w:textAlignment w:val="auto"/>
        <w:outlineLvl w:val="9"/>
        <w:rPr>
          <w:rFonts w:hint="eastAsia" w:ascii="仿宋_GB2312" w:hAnsi="仿宋_GB2312" w:eastAsia="仿宋_GB2312" w:cs="仿宋_GB2312"/>
          <w:kern w:val="0"/>
          <w:sz w:val="32"/>
          <w:szCs w:val="32"/>
          <w:lang w:eastAsia="zh-CN"/>
        </w:rPr>
      </w:pPr>
      <w:r>
        <w:rPr>
          <w:rFonts w:hint="eastAsia" w:ascii="黑体" w:hAnsi="黑体" w:eastAsia="黑体" w:cs="黑体"/>
          <w:sz w:val="32"/>
          <w:szCs w:val="32"/>
          <w:lang w:eastAsia="zh-CN"/>
        </w:rPr>
        <w:t>一、提高思想认识。</w:t>
      </w:r>
      <w:r>
        <w:rPr>
          <w:rFonts w:hint="eastAsia" w:ascii="仿宋_GB2312" w:hAnsi="仿宋_GB2312" w:eastAsia="仿宋_GB2312" w:cs="仿宋_GB2312"/>
          <w:kern w:val="0"/>
          <w:sz w:val="32"/>
          <w:szCs w:val="32"/>
          <w:u w:val="none"/>
          <w:lang w:val="en-US" w:eastAsia="zh-CN" w:bidi="ar-SA"/>
        </w:rPr>
        <w:t>开展安全生产治本攻坚三年行动是全国性的统一行动，也是今后一段时间各级各部门推进安全生产工作的主轴主线，制定《年度任务清单》既是治本攻坚三年行动的年度任务书，也是推进治本攻坚三年行动各项措施落地的有效抓手</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eastAsia="zh-CN"/>
        </w:rPr>
        <w:t>各乡镇、各部门要将《年度任务清单》作为贯彻落实国家、省、市、县治本攻坚三年行动部署要求的具体举措，不折不扣抓好推进落实。</w:t>
      </w:r>
    </w:p>
    <w:p>
      <w:pPr>
        <w:pStyle w:val="11"/>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黑体" w:hAnsi="黑体" w:eastAsia="黑体" w:cs="黑体"/>
          <w:sz w:val="32"/>
          <w:szCs w:val="32"/>
          <w:lang w:eastAsia="zh-CN"/>
        </w:rPr>
        <w:t>二、细化清单任务。</w:t>
      </w:r>
      <w:r>
        <w:rPr>
          <w:rFonts w:hint="eastAsia" w:ascii="仿宋_GB2312" w:hAnsi="仿宋_GB2312" w:eastAsia="仿宋_GB2312" w:cs="仿宋_GB2312"/>
          <w:kern w:val="0"/>
          <w:sz w:val="32"/>
          <w:szCs w:val="32"/>
          <w:lang w:eastAsia="zh-CN"/>
        </w:rPr>
        <w:t>各乡镇、各有关部门要认真对照本地、本行业领域治本攻坚三年行动方案要求，梳理制定本乡镇、本部门治本攻坚三年行动</w:t>
      </w:r>
      <w:r>
        <w:rPr>
          <w:rFonts w:hint="eastAsia" w:ascii="仿宋_GB2312" w:hAnsi="仿宋_GB2312" w:eastAsia="仿宋_GB2312" w:cs="仿宋_GB2312"/>
          <w:kern w:val="0"/>
          <w:sz w:val="32"/>
          <w:szCs w:val="32"/>
          <w:lang w:val="en-US" w:eastAsia="zh-CN"/>
        </w:rPr>
        <w:t>2024年度重点任务清单，明确</w:t>
      </w:r>
      <w:r>
        <w:rPr>
          <w:rFonts w:hint="eastAsia" w:ascii="仿宋_GB2312" w:hAnsi="仿宋_GB2312" w:eastAsia="仿宋_GB2312" w:cs="仿宋_GB2312"/>
          <w:kern w:val="0"/>
          <w:sz w:val="32"/>
          <w:szCs w:val="32"/>
          <w:lang w:eastAsia="zh-CN"/>
        </w:rPr>
        <w:t>责任主体和完成时限，</w:t>
      </w:r>
      <w:r>
        <w:rPr>
          <w:rFonts w:hint="eastAsia" w:ascii="仿宋_GB2312" w:hAnsi="仿宋_GB2312" w:eastAsia="仿宋_GB2312" w:cs="仿宋_GB2312"/>
          <w:kern w:val="0"/>
          <w:sz w:val="32"/>
          <w:szCs w:val="32"/>
          <w:lang w:val="en-US" w:eastAsia="zh-CN"/>
        </w:rPr>
        <w:t>并于4月30日前</w:t>
      </w:r>
      <w:r>
        <w:rPr>
          <w:rFonts w:hint="eastAsia" w:ascii="仿宋_GB2312" w:hAnsi="仿宋_GB2312" w:eastAsia="仿宋_GB2312" w:cs="仿宋_GB2312"/>
          <w:kern w:val="0"/>
          <w:sz w:val="32"/>
          <w:szCs w:val="32"/>
          <w:lang w:eastAsia="zh-CN"/>
        </w:rPr>
        <w:t>报县安委办</w:t>
      </w:r>
      <w:r>
        <w:rPr>
          <w:rFonts w:hint="eastAsia" w:ascii="仿宋_GB2312" w:hAnsi="仿宋_GB2312" w:eastAsia="仿宋_GB2312" w:cs="仿宋_GB2312"/>
          <w:kern w:val="0"/>
          <w:sz w:val="32"/>
          <w:szCs w:val="32"/>
          <w:lang w:val="en-US" w:eastAsia="zh-CN"/>
        </w:rPr>
        <w:t>。县</w:t>
      </w:r>
      <w:r>
        <w:rPr>
          <w:rFonts w:hint="eastAsia" w:ascii="仿宋_GB2312" w:hAnsi="仿宋_GB2312" w:eastAsia="仿宋_GB2312" w:cs="仿宋_GB2312"/>
          <w:kern w:val="0"/>
          <w:sz w:val="32"/>
          <w:szCs w:val="32"/>
          <w:lang w:eastAsia="zh-CN"/>
        </w:rPr>
        <w:t>直各有关</w:t>
      </w:r>
      <w:r>
        <w:rPr>
          <w:rFonts w:hint="eastAsia" w:ascii="仿宋_GB2312" w:hAnsi="仿宋_GB2312" w:eastAsia="仿宋_GB2312" w:cs="仿宋_GB2312"/>
          <w:color w:val="000000"/>
          <w:sz w:val="32"/>
          <w:szCs w:val="32"/>
          <w:lang w:eastAsia="zh-CN"/>
        </w:rPr>
        <w:t>部门要对照《年度任务清单》要求，对涉及本部门（单位）具体任务制定切实有效的工作措施，实施清单化管理，倒排工期、挂图作战，推动保质保量完成各项工作任务。</w:t>
      </w:r>
    </w:p>
    <w:p>
      <w:pPr>
        <w:pStyle w:val="11"/>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kern w:val="0"/>
          <w:sz w:val="32"/>
          <w:szCs w:val="32"/>
          <w:lang w:eastAsia="zh-CN"/>
        </w:rPr>
      </w:pPr>
      <w:r>
        <w:rPr>
          <w:rFonts w:hint="eastAsia" w:ascii="黑体" w:hAnsi="黑体" w:eastAsia="黑体" w:cs="黑体"/>
          <w:sz w:val="32"/>
          <w:szCs w:val="32"/>
          <w:lang w:eastAsia="zh-CN"/>
        </w:rPr>
        <w:t>三、强化统筹</w:t>
      </w:r>
      <w:r>
        <w:rPr>
          <w:rFonts w:hint="eastAsia" w:ascii="黑体" w:hAnsi="黑体" w:eastAsia="黑体" w:cs="黑体"/>
          <w:spacing w:val="-6"/>
          <w:sz w:val="32"/>
          <w:szCs w:val="32"/>
          <w:lang w:eastAsia="zh-CN"/>
        </w:rPr>
        <w:t>调度。</w:t>
      </w:r>
      <w:r>
        <w:rPr>
          <w:rFonts w:hint="eastAsia" w:ascii="仿宋_GB2312" w:hAnsi="仿宋_GB2312" w:eastAsia="仿宋_GB2312" w:cs="仿宋_GB2312"/>
          <w:spacing w:val="-6"/>
          <w:sz w:val="32"/>
          <w:szCs w:val="32"/>
          <w:lang w:val="en-US" w:eastAsia="zh-CN"/>
        </w:rPr>
        <w:t>县安委办将发挥好牵头抓总作用，每月调度各乡镇各有关部门三年行动工作进展和年度重点任务推动情况，并定期通报。对进展缓慢、推进治本攻坚不力的有关乡镇和部门，将发出提醒函、督办函，并纳入应急管理日常考核内容</w:t>
      </w:r>
      <w:r>
        <w:rPr>
          <w:rFonts w:hint="eastAsia" w:ascii="仿宋_GB2312" w:hAnsi="仿宋_GB2312" w:eastAsia="仿宋_GB2312" w:cs="仿宋_GB2312"/>
          <w:spacing w:val="-6"/>
          <w:kern w:val="0"/>
          <w:sz w:val="32"/>
          <w:szCs w:val="32"/>
          <w:lang w:eastAsia="zh-CN"/>
        </w:rPr>
        <w:t>。各乡镇各有关部门也要发挥工作专班等作用，建立常态化调度机制，定期开展调度、动态掌握进展，推动各项工作任务落到实处。</w:t>
      </w:r>
    </w:p>
    <w:p>
      <w:pPr>
        <w:pStyle w:val="11"/>
        <w:keepNext w:val="0"/>
        <w:keepLines w:val="0"/>
        <w:pageBreakBefore w:val="0"/>
        <w:widowControl w:val="0"/>
        <w:kinsoku/>
        <w:wordWrap/>
        <w:overflowPunct/>
        <w:topLinePunct w:val="0"/>
        <w:autoSpaceDE/>
        <w:autoSpaceDN/>
        <w:bidi w:val="0"/>
        <w:adjustRightInd w:val="0"/>
        <w:snapToGrid w:val="0"/>
        <w:spacing w:line="560" w:lineRule="exact"/>
        <w:ind w:firstLine="572" w:firstLineChars="200"/>
        <w:textAlignment w:val="auto"/>
        <w:outlineLvl w:val="9"/>
        <w:rPr>
          <w:rFonts w:hint="eastAsia" w:ascii="仿宋_GB2312" w:hAnsi="仿宋_GB2312" w:eastAsia="仿宋_GB2312" w:cs="仿宋_GB2312"/>
          <w:spacing w:val="-17"/>
          <w:kern w:val="0"/>
          <w:sz w:val="32"/>
          <w:szCs w:val="32"/>
          <w:lang w:val="en" w:eastAsia="zh-CN"/>
        </w:rPr>
      </w:pPr>
      <w:r>
        <w:rPr>
          <w:rFonts w:hint="eastAsia" w:ascii="仿宋_GB2312" w:hAnsi="仿宋_GB2312" w:eastAsia="仿宋_GB2312" w:cs="仿宋_GB2312"/>
          <w:spacing w:val="-17"/>
          <w:kern w:val="0"/>
          <w:sz w:val="32"/>
          <w:szCs w:val="32"/>
          <w:lang w:eastAsia="zh-CN"/>
        </w:rPr>
        <w:t>县安委办联系人及电话：刘瑜</w:t>
      </w:r>
      <w:r>
        <w:rPr>
          <w:rFonts w:hint="eastAsia" w:ascii="仿宋_GB2312" w:hAnsi="仿宋_GB2312" w:eastAsia="仿宋_GB2312" w:cs="仿宋_GB2312"/>
          <w:spacing w:val="-17"/>
          <w:kern w:val="0"/>
          <w:sz w:val="32"/>
          <w:szCs w:val="32"/>
          <w:lang w:val="en-US" w:eastAsia="zh-CN"/>
        </w:rPr>
        <w:t>，5721835，邮箱：</w:t>
      </w:r>
      <w:r>
        <w:rPr>
          <w:rFonts w:hint="eastAsia" w:ascii="仿宋_GB2312" w:hAnsi="仿宋_GB2312" w:eastAsia="仿宋_GB2312" w:cs="仿宋_GB2312"/>
          <w:spacing w:val="-17"/>
          <w:sz w:val="32"/>
          <w:szCs w:val="32"/>
          <w:lang w:val="en-US" w:eastAsia="zh-CN"/>
        </w:rPr>
        <w:t>scxawb001@163</w:t>
      </w:r>
      <w:r>
        <w:rPr>
          <w:rFonts w:hint="eastAsia" w:ascii="仿宋_GB2312" w:hAnsi="仿宋_GB2312" w:eastAsia="仿宋_GB2312" w:cs="仿宋_GB2312"/>
          <w:spacing w:val="-17"/>
          <w:sz w:val="32"/>
          <w:szCs w:val="32"/>
          <w:lang w:eastAsia="zh-CN"/>
        </w:rPr>
        <w:t>.com</w:t>
      </w:r>
      <w:r>
        <w:rPr>
          <w:rFonts w:hint="eastAsia" w:ascii="仿宋_GB2312" w:hAnsi="仿宋_GB2312" w:eastAsia="仿宋_GB2312" w:cs="仿宋_GB2312"/>
          <w:spacing w:val="-17"/>
          <w:kern w:val="0"/>
          <w:sz w:val="32"/>
          <w:szCs w:val="32"/>
          <w:lang w:val="en" w:eastAsia="zh-CN"/>
        </w:rPr>
        <w:t>。</w:t>
      </w:r>
    </w:p>
    <w:p>
      <w:pPr>
        <w:pStyle w:val="69"/>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kinsoku/>
        <w:wordWrap/>
        <w:overflowPunct w:val="0"/>
        <w:topLinePunct w:val="0"/>
        <w:autoSpaceDE/>
        <w:autoSpaceDN/>
        <w:bidi w:val="0"/>
        <w:adjustRightInd/>
        <w:snapToGrid/>
        <w:spacing w:line="520" w:lineRule="exact"/>
        <w:ind w:firstLine="596" w:firstLineChars="200"/>
        <w:jc w:val="both"/>
        <w:textAlignment w:val="auto"/>
        <w:rPr>
          <w:rFonts w:hint="eastAsia" w:ascii="仿宋_GB2312" w:hAnsi="仿宋_GB2312" w:eastAsia="仿宋_GB2312" w:cs="仿宋_GB2312"/>
          <w:color w:val="auto"/>
          <w:spacing w:val="-11"/>
          <w:sz w:val="32"/>
          <w:szCs w:val="32"/>
        </w:rPr>
      </w:pPr>
      <w:r>
        <w:rPr>
          <w:rFonts w:hint="eastAsia" w:ascii="仿宋_GB2312" w:hAnsi="仿宋_GB2312" w:eastAsia="仿宋_GB2312" w:cs="仿宋_GB2312"/>
          <w:spacing w:val="-11"/>
          <w:kern w:val="2"/>
          <w:sz w:val="32"/>
          <w:szCs w:val="32"/>
          <w:lang w:val="en-US" w:eastAsia="zh-CN" w:bidi="ar-SA"/>
        </w:rPr>
        <w:t>附件</w:t>
      </w:r>
      <w:r>
        <w:rPr>
          <w:rFonts w:hint="eastAsia" w:ascii="仿宋_GB2312" w:hAnsi="仿宋_GB2312" w:eastAsia="仿宋_GB2312" w:cs="仿宋_GB2312"/>
          <w:color w:val="auto"/>
          <w:spacing w:val="-11"/>
          <w:kern w:val="2"/>
          <w:sz w:val="32"/>
          <w:szCs w:val="32"/>
          <w:lang w:val="en-US" w:eastAsia="zh-CN" w:bidi="ar-SA"/>
        </w:rPr>
        <w:t>：石城县安全生产治本攻坚三年行动2024年重点任务清单</w:t>
      </w:r>
    </w:p>
    <w:p>
      <w:pPr>
        <w:keepNext w:val="0"/>
        <w:keepLines w:val="0"/>
        <w:pageBreakBefore w:val="0"/>
        <w:kinsoku/>
        <w:wordWrap/>
        <w:topLinePunct w:val="0"/>
        <w:autoSpaceDE/>
        <w:autoSpaceDN/>
        <w:bidi w:val="0"/>
        <w:adjustRightInd/>
        <w:snapToGrid/>
        <w:spacing w:line="520" w:lineRule="exact"/>
        <w:ind w:firstLine="1600" w:firstLineChars="5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pStyle w:val="6"/>
        <w:keepNext w:val="0"/>
        <w:keepLines w:val="0"/>
        <w:pageBreakBefore w:val="0"/>
        <w:kinsoku/>
        <w:wordWrap/>
        <w:topLinePunct w:val="0"/>
        <w:autoSpaceDE/>
        <w:autoSpaceDN/>
        <w:bidi w:val="0"/>
        <w:adjustRightInd/>
        <w:snapToGrid/>
        <w:spacing w:line="520" w:lineRule="exact"/>
        <w:textAlignment w:val="auto"/>
        <w:rPr>
          <w:rFonts w:hint="eastAsia" w:ascii="仿宋_GB2312" w:hAnsi="仿宋_GB2312" w:eastAsia="仿宋_GB2312" w:cs="仿宋_GB2312"/>
        </w:rPr>
      </w:pPr>
    </w:p>
    <w:p>
      <w:pPr>
        <w:pStyle w:val="4"/>
        <w:keepNext w:val="0"/>
        <w:keepLines w:val="0"/>
        <w:pageBreakBefore w:val="0"/>
        <w:kinsoku/>
        <w:wordWrap/>
        <w:overflowPunct w:val="0"/>
        <w:topLinePunct w:val="0"/>
        <w:autoSpaceDE/>
        <w:autoSpaceDN/>
        <w:bidi w:val="0"/>
        <w:adjustRightInd/>
        <w:snapToGrid/>
        <w:spacing w:before="0" w:beforeLines="0" w:beforeAutospacing="0" w:after="0" w:afterLines="0" w:afterAutospacing="0" w:line="520" w:lineRule="exact"/>
        <w:ind w:firstLine="4004" w:firstLineChars="1300"/>
        <w:jc w:val="both"/>
        <w:textAlignment w:val="auto"/>
        <w:rPr>
          <w:rFonts w:hint="eastAsia" w:ascii="仿宋_GB2312" w:hAnsi="仿宋_GB2312" w:eastAsia="仿宋_GB2312" w:cs="仿宋_GB2312"/>
          <w:b w:val="0"/>
          <w:bCs w:val="0"/>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b w:val="0"/>
          <w:bCs w:val="0"/>
          <w:color w:val="000000" w:themeColor="text1"/>
          <w:spacing w:val="-6"/>
          <w:sz w:val="32"/>
          <w:szCs w:val="32"/>
          <w14:textFill>
            <w14:solidFill>
              <w14:schemeClr w14:val="tx1"/>
            </w14:solidFill>
          </w14:textFill>
        </w:rPr>
        <w:t>石城县安全生产委员会</w:t>
      </w:r>
      <w:r>
        <w:rPr>
          <w:rFonts w:hint="eastAsia" w:ascii="仿宋_GB2312" w:hAnsi="仿宋_GB2312" w:eastAsia="仿宋_GB2312" w:cs="仿宋_GB2312"/>
          <w:b w:val="0"/>
          <w:bCs w:val="0"/>
          <w:color w:val="000000" w:themeColor="text1"/>
          <w:spacing w:val="-6"/>
          <w:sz w:val="32"/>
          <w:szCs w:val="32"/>
          <w:lang w:eastAsia="zh-CN"/>
          <w14:textFill>
            <w14:solidFill>
              <w14:schemeClr w14:val="tx1"/>
            </w14:solidFill>
          </w14:textFill>
        </w:rPr>
        <w:t>办公</w:t>
      </w:r>
      <w:r>
        <w:rPr>
          <w:rFonts w:hint="eastAsia" w:ascii="仿宋_GB2312" w:hAnsi="仿宋_GB2312" w:eastAsia="仿宋_GB2312" w:cs="仿宋_GB2312"/>
          <w:b w:val="0"/>
          <w:bCs w:val="0"/>
          <w:color w:val="000000" w:themeColor="text1"/>
          <w:spacing w:val="0"/>
          <w:sz w:val="32"/>
          <w:szCs w:val="32"/>
          <w:lang w:eastAsia="zh-CN"/>
          <w14:textFill>
            <w14:solidFill>
              <w14:schemeClr w14:val="tx1"/>
            </w14:solidFill>
          </w14:textFill>
        </w:rPr>
        <w:t>室</w:t>
      </w:r>
    </w:p>
    <w:p>
      <w:pPr>
        <w:pStyle w:val="4"/>
        <w:keepNext w:val="0"/>
        <w:keepLines w:val="0"/>
        <w:pageBreakBefore w:val="0"/>
        <w:kinsoku/>
        <w:wordWrap/>
        <w:overflowPunct w:val="0"/>
        <w:topLinePunct w:val="0"/>
        <w:autoSpaceDE/>
        <w:autoSpaceDN/>
        <w:bidi w:val="0"/>
        <w:adjustRightInd/>
        <w:snapToGrid/>
        <w:spacing w:before="0" w:beforeLines="0" w:beforeAutospacing="0" w:after="0" w:afterLines="0" w:afterAutospacing="0" w:line="520" w:lineRule="exact"/>
        <w:ind w:firstLine="4800" w:firstLineChars="1500"/>
        <w:jc w:val="both"/>
        <w:textAlignment w:val="auto"/>
        <w:rPr>
          <w:rFonts w:hint="eastAsia" w:ascii="仿宋_GB2312" w:hAnsi="仿宋_GB2312" w:eastAsia="仿宋_GB2312" w:cs="仿宋_GB2312"/>
          <w:b w:val="0"/>
          <w:bCs w:val="0"/>
          <w:color w:val="000000" w:themeColor="text1"/>
          <w:spacing w:val="0"/>
          <w:sz w:val="32"/>
          <w:szCs w:val="32"/>
          <w14:textFill>
            <w14:solidFill>
              <w14:schemeClr w14:val="tx1"/>
            </w14:solidFill>
          </w14:textFill>
        </w:rPr>
        <w:sectPr>
          <w:headerReference r:id="rId3" w:type="default"/>
          <w:footerReference r:id="rId4" w:type="default"/>
          <w:pgSz w:w="11906" w:h="16838"/>
          <w:pgMar w:top="1928" w:right="1531" w:bottom="1644" w:left="1587" w:header="851" w:footer="1134" w:gutter="0"/>
          <w:pgBorders>
            <w:top w:val="none" w:sz="0" w:space="0"/>
            <w:left w:val="none" w:sz="0" w:space="0"/>
            <w:bottom w:val="none" w:sz="0" w:space="0"/>
            <w:right w:val="none" w:sz="0" w:space="0"/>
          </w:pgBorders>
          <w:pgNumType w:fmt="decimal"/>
          <w:cols w:space="720" w:num="1"/>
          <w:rtlGutter w:val="0"/>
          <w:docGrid w:type="lines" w:linePitch="319" w:charSpace="0"/>
        </w:sectPr>
      </w:pPr>
      <w:r>
        <w:rPr>
          <w:rFonts w:hint="eastAsia" w:ascii="仿宋_GB2312" w:hAnsi="仿宋_GB2312" w:eastAsia="仿宋_GB2312" w:cs="仿宋_GB2312"/>
          <w:b w:val="0"/>
          <w:bCs w:val="0"/>
          <w:color w:val="000000" w:themeColor="text1"/>
          <w:spacing w:val="0"/>
          <w:sz w:val="32"/>
          <w:szCs w:val="32"/>
          <w14:textFill>
            <w14:solidFill>
              <w14:schemeClr w14:val="tx1"/>
            </w14:solidFill>
          </w14:textFill>
        </w:rPr>
        <w:t>202</w:t>
      </w:r>
      <w:r>
        <w:rPr>
          <w:rFonts w:hint="eastAsia" w:ascii="仿宋_GB2312" w:hAnsi="仿宋_GB2312" w:eastAsia="仿宋_GB2312" w:cs="仿宋_GB2312"/>
          <w:b w:val="0"/>
          <w:bCs w:val="0"/>
          <w:color w:val="000000" w:themeColor="text1"/>
          <w:spacing w:val="0"/>
          <w:sz w:val="32"/>
          <w:szCs w:val="32"/>
          <w:lang w:val="en-US" w:eastAsia="zh-CN"/>
          <w14:textFill>
            <w14:solidFill>
              <w14:schemeClr w14:val="tx1"/>
            </w14:solidFill>
          </w14:textFill>
        </w:rPr>
        <w:t>4</w:t>
      </w:r>
      <w:r>
        <w:rPr>
          <w:rFonts w:hint="eastAsia" w:ascii="仿宋_GB2312" w:hAnsi="仿宋_GB2312" w:eastAsia="仿宋_GB2312" w:cs="仿宋_GB2312"/>
          <w:b w:val="0"/>
          <w:bCs w:val="0"/>
          <w:color w:val="000000" w:themeColor="text1"/>
          <w:spacing w:val="0"/>
          <w:sz w:val="32"/>
          <w:szCs w:val="32"/>
          <w14:textFill>
            <w14:solidFill>
              <w14:schemeClr w14:val="tx1"/>
            </w14:solidFill>
          </w14:textFill>
        </w:rPr>
        <w:t>年</w:t>
      </w:r>
      <w:r>
        <w:rPr>
          <w:rFonts w:hint="eastAsia" w:ascii="仿宋_GB2312" w:hAnsi="仿宋_GB2312" w:eastAsia="仿宋_GB2312" w:cs="仿宋_GB2312"/>
          <w:b w:val="0"/>
          <w:bCs w:val="0"/>
          <w:color w:val="000000" w:themeColor="text1"/>
          <w:spacing w:val="0"/>
          <w:sz w:val="32"/>
          <w:szCs w:val="32"/>
          <w:lang w:val="en-US" w:eastAsia="zh-CN"/>
          <w14:textFill>
            <w14:solidFill>
              <w14:schemeClr w14:val="tx1"/>
            </w14:solidFill>
          </w14:textFill>
        </w:rPr>
        <w:t>4</w:t>
      </w:r>
      <w:r>
        <w:rPr>
          <w:rFonts w:hint="eastAsia" w:ascii="仿宋_GB2312" w:hAnsi="仿宋_GB2312" w:eastAsia="仿宋_GB2312" w:cs="仿宋_GB2312"/>
          <w:b w:val="0"/>
          <w:bCs w:val="0"/>
          <w:color w:val="000000" w:themeColor="text1"/>
          <w:spacing w:val="0"/>
          <w:sz w:val="32"/>
          <w:szCs w:val="32"/>
          <w14:textFill>
            <w14:solidFill>
              <w14:schemeClr w14:val="tx1"/>
            </w14:solidFill>
          </w14:textFill>
        </w:rPr>
        <w:t>月</w:t>
      </w:r>
      <w:r>
        <w:rPr>
          <w:rFonts w:hint="eastAsia" w:ascii="仿宋_GB2312" w:hAnsi="仿宋_GB2312" w:eastAsia="仿宋_GB2312" w:cs="仿宋_GB2312"/>
          <w:b w:val="0"/>
          <w:bCs w:val="0"/>
          <w:color w:val="000000" w:themeColor="text1"/>
          <w:spacing w:val="0"/>
          <w:sz w:val="32"/>
          <w:szCs w:val="32"/>
          <w:lang w:val="en-US" w:eastAsia="zh-CN"/>
          <w14:textFill>
            <w14:solidFill>
              <w14:schemeClr w14:val="tx1"/>
            </w14:solidFill>
          </w14:textFill>
        </w:rPr>
        <w:t>29</w:t>
      </w:r>
      <w:r>
        <w:rPr>
          <w:rFonts w:hint="eastAsia" w:ascii="仿宋_GB2312" w:hAnsi="仿宋_GB2312" w:eastAsia="仿宋_GB2312" w:cs="仿宋_GB2312"/>
          <w:b w:val="0"/>
          <w:bCs w:val="0"/>
          <w:color w:val="000000" w:themeColor="text1"/>
          <w:spacing w:val="0"/>
          <w:sz w:val="32"/>
          <w:szCs w:val="32"/>
          <w14:textFill>
            <w14:solidFill>
              <w14:schemeClr w14:val="tx1"/>
            </w14:solidFill>
          </w14:textFill>
        </w:rPr>
        <w:t>日</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黑体" w:hAnsi="黑体" w:eastAsia="黑体" w:cs="黑体"/>
          <w:i w:val="0"/>
          <w:iCs w:val="0"/>
          <w:color w:val="000000"/>
          <w:kern w:val="0"/>
          <w:sz w:val="32"/>
          <w:szCs w:val="32"/>
          <w:u w:val="none"/>
          <w:lang w:val="en-US" w:eastAsia="zh-CN" w:bidi="ar"/>
        </w:rPr>
      </w:pPr>
      <w:r>
        <w:rPr>
          <w:rFonts w:hint="eastAsia" w:ascii="黑体" w:hAnsi="黑体" w:eastAsia="黑体" w:cs="黑体"/>
          <w:i w:val="0"/>
          <w:iCs w:val="0"/>
          <w:color w:val="000000"/>
          <w:kern w:val="0"/>
          <w:sz w:val="32"/>
          <w:szCs w:val="32"/>
          <w:u w:val="none"/>
          <w:lang w:val="en-US" w:eastAsia="zh-CN" w:bidi="ar"/>
        </w:rPr>
        <w:t>附件</w:t>
      </w:r>
    </w:p>
    <w:p>
      <w:pPr>
        <w:keepNext w:val="0"/>
        <w:keepLines w:val="0"/>
        <w:pageBreakBefore w:val="0"/>
        <w:kinsoku/>
        <w:wordWrap/>
        <w:overflowPunct/>
        <w:topLinePunct w:val="0"/>
        <w:autoSpaceDE/>
        <w:autoSpaceDN/>
        <w:bidi w:val="0"/>
        <w:adjustRightInd/>
        <w:snapToGrid/>
        <w:spacing w:line="560" w:lineRule="exact"/>
        <w:jc w:val="center"/>
        <w:rPr>
          <w:rFonts w:hint="eastAsia"/>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石城县安全生产治本攻坚三年行动2024年重点任务清单</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32"/>
          <w:szCs w:val="32"/>
          <w:lang w:val="en-US" w:eastAsia="zh-CN"/>
        </w:rPr>
      </w:pPr>
    </w:p>
    <w:tbl>
      <w:tblPr>
        <w:tblStyle w:val="23"/>
        <w:tblW w:w="147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5"/>
        <w:gridCol w:w="1440"/>
        <w:gridCol w:w="8400"/>
        <w:gridCol w:w="1665"/>
        <w:gridCol w:w="1290"/>
        <w:gridCol w:w="12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blHeader/>
          <w:jc w:val="center"/>
        </w:trPr>
        <w:tc>
          <w:tcPr>
            <w:tcW w:w="70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144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十大行动</w:t>
            </w:r>
          </w:p>
        </w:tc>
        <w:tc>
          <w:tcPr>
            <w:tcW w:w="840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工作事项及具体目标</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责任单位</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完成时限</w:t>
            </w:r>
          </w:p>
        </w:tc>
        <w:tc>
          <w:tcPr>
            <w:tcW w:w="1290" w:type="dxa"/>
            <w:tcBorders>
              <w:top w:val="single" w:color="000000" w:sz="4" w:space="0"/>
              <w:left w:val="nil"/>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c>
          <w:tcPr>
            <w:tcW w:w="144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numPr>
                <w:ilvl w:val="0"/>
                <w:numId w:val="0"/>
              </w:numPr>
              <w:suppressLineNumbers w:val="0"/>
              <w:spacing w:before="0" w:beforeAutospacing="0" w:after="0" w:afterAutospacing="0"/>
              <w:ind w:left="0" w:right="0"/>
              <w:jc w:val="both"/>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both"/>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both"/>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both"/>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both"/>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both"/>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both"/>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both"/>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一、开展生产经营单位主要负责人安全教育培训行动</w:t>
            </w: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一、开展生产经营单位主要负责人安全教育培训行动</w:t>
            </w: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numPr>
                <w:ilvl w:val="0"/>
                <w:numId w:val="0"/>
              </w:numPr>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tc>
        <w:tc>
          <w:tcPr>
            <w:tcW w:w="8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default"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spacing w:val="-6"/>
                <w:kern w:val="0"/>
                <w:sz w:val="20"/>
                <w:szCs w:val="20"/>
                <w:u w:val="none"/>
                <w:lang w:val="en-US" w:eastAsia="zh-CN" w:bidi="ar"/>
              </w:rPr>
              <w:t>1.开展矿山企业主要负责人集中培训。按照国家统一部署，年内按规定完成矿山主要负责人培训。</w:t>
            </w:r>
          </w:p>
        </w:tc>
        <w:tc>
          <w:tcPr>
            <w:tcW w:w="16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bookmarkStart w:id="1" w:name="_GoBack"/>
            <w:bookmarkEnd w:id="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2</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tc>
        <w:tc>
          <w:tcPr>
            <w:tcW w:w="8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2.开展二级及以上医院（含驻县医院）消防安全责任人集中培训。按照国家统一部署，年内按规定完成二级以上医院消防安全责任人培训。</w:t>
            </w:r>
          </w:p>
        </w:tc>
        <w:tc>
          <w:tcPr>
            <w:tcW w:w="16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县卫健委</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3</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3.开展粉尘涉爆企业主要负责人安全教育培训。12月底前完成全县粉尘涉爆企业主要负责人安全教育培训。</w:t>
            </w:r>
          </w:p>
        </w:tc>
        <w:tc>
          <w:tcPr>
            <w:tcW w:w="16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4</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default"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4.开展工贸行业企业主要负责人安全教育培训。6月底前，完成全县工贸行业企业主要负责人安全教育培训，组织工贸行业企业主要负责人签订安全承诺书，12月底对高风险企业开展安全警示约谈。</w:t>
            </w:r>
          </w:p>
        </w:tc>
        <w:tc>
          <w:tcPr>
            <w:tcW w:w="16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5</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r>
              <w:rPr>
                <w:rFonts w:hint="eastAsia" w:ascii="仿宋_GB2312" w:hAnsi="宋体" w:eastAsia="仿宋_GB2312" w:cs="仿宋_GB2312"/>
                <w:i w:val="0"/>
                <w:iCs w:val="0"/>
                <w:color w:val="auto"/>
                <w:kern w:val="0"/>
                <w:sz w:val="20"/>
                <w:szCs w:val="20"/>
                <w:u w:val="none"/>
                <w:lang w:val="en-US" w:eastAsia="zh-CN" w:bidi="ar"/>
              </w:rPr>
              <w:t>.对“小医院”、托育机构、医养机构主要负责人开展安全生产教育培训。6月底前完成培训50%，12月底前完成培训100%。</w:t>
            </w:r>
          </w:p>
        </w:tc>
        <w:tc>
          <w:tcPr>
            <w:tcW w:w="16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县卫健委</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3"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6</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组织文化旅游领域生产经营单位主要负责人培训。组织对中心城区内所有演出、娱乐场所、剧本娱乐、互联网上网服务营业场所等文化县场经营单位主要负责人和重点文物保护等单位消防安全责任人实施全覆盖培训。7月底前完成50%，11月底前完成100%。</w:t>
            </w:r>
          </w:p>
        </w:tc>
        <w:tc>
          <w:tcPr>
            <w:tcW w:w="16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县文广新旅局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11月30日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7</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7.组织商贸企业负责人开展安全教育培训。6月底前组织开展1场，培训人数28人以上，12月底前组织开展1场，培训人数28人以上。</w:t>
            </w:r>
          </w:p>
        </w:tc>
        <w:tc>
          <w:tcPr>
            <w:tcW w:w="16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县商务局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8</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组织利用人防工程进行生产经营的单位主要负责人开展安全教育培训。在6月底前对利用人防工程用于“九小场所”、多业态混合生产经营场所和人员密集场所的3个项目生产经营单位主要负责人开展安全教育培训。</w:t>
            </w:r>
          </w:p>
        </w:tc>
        <w:tc>
          <w:tcPr>
            <w:tcW w:w="16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县国动办</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6月30日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jc w:val="center"/>
        </w:trPr>
        <w:tc>
          <w:tcPr>
            <w:tcW w:w="705"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9</w:t>
            </w:r>
          </w:p>
        </w:tc>
        <w:tc>
          <w:tcPr>
            <w:tcW w:w="1440" w:type="dxa"/>
            <w:vMerge w:val="continue"/>
            <w:tcBorders>
              <w:top w:val="single" w:color="auto" w:sz="4" w:space="0"/>
              <w:left w:val="single" w:color="000000"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9.组织辖区内废弃危险物、固废等污染防控企业的主要负责人进行安全生产相关工作业务培训，12月底前完成全覆盖培训。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县生态环境局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5"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10</w:t>
            </w:r>
          </w:p>
        </w:tc>
        <w:tc>
          <w:tcPr>
            <w:tcW w:w="1440" w:type="dxa"/>
            <w:vMerge w:val="continue"/>
            <w:tcBorders>
              <w:left w:val="single" w:color="000000"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10.开展养老机构主要负责人安全培训。组织对辖区内18名养老机构主要负责人开展安全生产、养老机构重大事故隐患判定标准等培训。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县民政局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9月30日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11</w:t>
            </w:r>
          </w:p>
        </w:tc>
        <w:tc>
          <w:tcPr>
            <w:tcW w:w="1440" w:type="dxa"/>
            <w:vMerge w:val="continue"/>
            <w:tcBorders>
              <w:left w:val="single" w:color="000000"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11.组织对全县城管系统安全监管负责人员实施全覆盖培训。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县城管局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9月30日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12</w:t>
            </w:r>
          </w:p>
        </w:tc>
        <w:tc>
          <w:tcPr>
            <w:tcW w:w="1440" w:type="dxa"/>
            <w:vMerge w:val="continue"/>
            <w:tcBorders>
              <w:left w:val="single" w:color="000000"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12.组织开展地质灾害防治能力提升培训。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县自然资源局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9月30日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13</w:t>
            </w:r>
          </w:p>
        </w:tc>
        <w:tc>
          <w:tcPr>
            <w:tcW w:w="1440" w:type="dxa"/>
            <w:vMerge w:val="continue"/>
            <w:tcBorders>
              <w:left w:val="single" w:color="000000"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13.组织对全县在建项目建设、施工、监理单位负责人实施培训。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县住建局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9月30日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14</w:t>
            </w:r>
          </w:p>
        </w:tc>
        <w:tc>
          <w:tcPr>
            <w:tcW w:w="1440" w:type="dxa"/>
            <w:vMerge w:val="continue"/>
            <w:tcBorders>
              <w:left w:val="single" w:color="000000"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14.组织教科体局机关全体干部、全县各级各类学校主要领导和协管安全分管领导学习《石城县校园安全隐患排查操作手册》。</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县教科体局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9月30日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0"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15</w:t>
            </w:r>
          </w:p>
        </w:tc>
        <w:tc>
          <w:tcPr>
            <w:tcW w:w="1440" w:type="dxa"/>
            <w:vMerge w:val="continue"/>
            <w:tcBorders>
              <w:left w:val="single" w:color="000000"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15.组织民用爆炸物品监管业务培训。7月底前制定培训工作方案，10月底前完成监管民警培训任务。</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县公安局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10月31日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auto"/>
                <w:kern w:val="0"/>
                <w:sz w:val="22"/>
                <w:szCs w:val="22"/>
                <w:u w:val="none"/>
                <w:lang w:val="en-US" w:eastAsia="zh-CN" w:bidi="ar"/>
              </w:rPr>
            </w:pPr>
            <w:r>
              <w:rPr>
                <w:rFonts w:hint="eastAsia" w:ascii="黑体" w:hAnsi="宋体" w:eastAsia="黑体" w:cs="黑体"/>
                <w:i w:val="0"/>
                <w:iCs w:val="0"/>
                <w:color w:val="auto"/>
                <w:kern w:val="0"/>
                <w:sz w:val="22"/>
                <w:szCs w:val="22"/>
                <w:u w:val="none"/>
                <w:lang w:val="en-US" w:eastAsia="zh-CN" w:bidi="ar"/>
              </w:rPr>
              <w:t>16</w:t>
            </w:r>
          </w:p>
        </w:tc>
        <w:tc>
          <w:tcPr>
            <w:tcW w:w="1440" w:type="dxa"/>
            <w:vMerge w:val="continue"/>
            <w:tcBorders>
              <w:left w:val="single" w:color="000000"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16.每季度组织全县交通运输领域企业、单位负责人或安全员开展安全业务知识培训，重点围绕事故警示教育、安全风险分级管控和隐患排查治理双重预防机制建立、重大安全事故隐患评判标准等内容开展学习，提升安全管控水平。</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县交通运输局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5"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17</w:t>
            </w:r>
          </w:p>
        </w:tc>
        <w:tc>
          <w:tcPr>
            <w:tcW w:w="1440" w:type="dxa"/>
            <w:vMerge w:val="continue"/>
            <w:tcBorders>
              <w:left w:val="single" w:color="000000"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default"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17.组织农业有限空间等重点行业基层安全管理人员和有关农业企业、生产经营主体负责人、从业人员开展安全教育培训。8月底前组织完成全县农业有限空间重点行业基层安全管理人员和有关农业企业、生产经营主体负责人、从业人员的安全教育培训工作。</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县农业农村局</w:t>
            </w:r>
          </w:p>
        </w:tc>
        <w:tc>
          <w:tcPr>
            <w:tcW w:w="1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8月31日</w:t>
            </w:r>
          </w:p>
        </w:tc>
        <w:tc>
          <w:tcPr>
            <w:tcW w:w="1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suppressLineNumbers w:val="0"/>
              <w:spacing w:before="0" w:beforeLines="0" w:beforeAutospacing="0" w:after="0" w:afterLines="0" w:afterAutospacing="0"/>
              <w:ind w:left="0" w:right="0"/>
              <w:jc w:val="center"/>
              <w:rPr>
                <w:rFonts w:hint="eastAsia" w:ascii="浠垮畫_GB2312" w:hAnsi="浠垮畫_GB2312" w:eastAsia="浠垮畫_GB2312" w:cs="Times New Roman"/>
                <w:color w:val="FF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18</w:t>
            </w:r>
          </w:p>
        </w:tc>
        <w:tc>
          <w:tcPr>
            <w:tcW w:w="1440" w:type="dxa"/>
            <w:vMerge w:val="continue"/>
            <w:tcBorders>
              <w:left w:val="single" w:color="000000"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auto"/>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18.水利领域开展安全生产培训，并督促在建水利工程进行安全培训。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县水利局</w:t>
            </w:r>
          </w:p>
        </w:tc>
        <w:tc>
          <w:tcPr>
            <w:tcW w:w="1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6月30日</w:t>
            </w:r>
          </w:p>
        </w:tc>
        <w:tc>
          <w:tcPr>
            <w:tcW w:w="1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suppressLineNumbers w:val="0"/>
              <w:spacing w:before="0" w:beforeLines="0" w:beforeAutospacing="0" w:after="0" w:afterLines="0" w:afterAutospacing="0"/>
              <w:ind w:left="0" w:right="0"/>
              <w:jc w:val="center"/>
              <w:rPr>
                <w:rFonts w:hint="eastAsia" w:ascii="浠垮畫_GB2312" w:hAnsi="浠垮畫_GB2312" w:eastAsia="浠垮畫_GB2312" w:cs="Times New Roman"/>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19</w:t>
            </w:r>
          </w:p>
        </w:tc>
        <w:tc>
          <w:tcPr>
            <w:tcW w:w="144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二、开展重大事故隐患动态清零行动</w:t>
            </w: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组织开展重大事故隐患判定标准学习宣贯。5月底前县直各负有安全监管和行业管理的部门组织本系统监管人员完成一次重大事故隐患判定标准集中学习，6月底前县级各行业领域组织监管行业领域生产经营单位开展集中宣贯。</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县直各负有安全监管和行业管理的部门</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6月30日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2"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20</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健全完善重大事故隐患闭环整改及统计分析机制。12月底前全面摸清重点行业领域生产经营单位风险隐患底数，健全重大事故隐患数据库，并建立健全分区域、分行业重大事故隐患统计分析机制，严肃重大事故隐患排查整改核实责任追究。</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县直各负有安全监管和行业管理的部门</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7"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21</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推进各行业领域重大事故隐患动态清零。持续加强危化品、矿山、烟花爆竹、粉尘涉爆、建筑施工、燃气、消防、交通运输等行业领域重大事故隐患排查整治，12月底前基本消除2023年以来排查发现的重大事故隐患存量。</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县直各负有安全监管和行业管理的部门</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22</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4.开展建筑施工领域风险隐患排查整治。组织开展全县房屋市政工程有限空间作业安全专项整治行动，5月上旬前对全县房屋市政工程有限空间作业进行全覆盖排查，5月下旬完成集中整治；同时组织开展全县房屋市政工程建筑起重机械安全专项整治行动，5月底前企业完成自查自改，6月底前完成全面检查，7月底前进行巩固提升。</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县住建局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23</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5.开展燃气安全专项整治。充分运用全国“燃气安全专项整治工作系统”开展排查整治，2024年底前保持录入企业排查进度100%，整改率90%以上。</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县住建局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24</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6.落实物业服务区域每月常态化安全隐患排查整治行动。重点针对物业项目安全管理、消防安全、房屋装饰装修、电梯安全、高空抛物、有限空间、外立面脱落等方面，做到物业企业日常巡查和相关部门定期督导检查有机结合，时刻掌握物业住宅小区安全管理状况。</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县住建局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25</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深入开展重点道路安全风险隐患排查治理。定期开展公路事故多发点段、隐患突出点段排查，及时将结果报告党委和政府并通报相关部门，推动有效整治，督促53处市政府挂牌督办涉我县2处隐患路段整改验收到位。</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11"/>
                <w:kern w:val="0"/>
                <w:sz w:val="20"/>
                <w:szCs w:val="20"/>
                <w:u w:val="none"/>
                <w:lang w:val="en-US" w:eastAsia="zh-CN" w:bidi="ar"/>
              </w:rPr>
              <w:t>县公安局交警大队</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26</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8.抓好县政府挂牌督办重大火灾隐患整改工作。12月底前对市政府挂牌督办的2家、县政府即将挂牌督办的2家重大火灾隐患单位100%整改销案。</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县消防救援大队</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27</w:t>
            </w:r>
          </w:p>
        </w:tc>
        <w:tc>
          <w:tcPr>
            <w:tcW w:w="1440"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三、开展安全科技支撑和工程治理行动</w:t>
            </w: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spacing w:val="-6"/>
                <w:kern w:val="0"/>
                <w:sz w:val="20"/>
                <w:szCs w:val="20"/>
                <w:u w:val="none"/>
                <w:lang w:val="en-US" w:eastAsia="zh-CN" w:bidi="ar"/>
              </w:rPr>
              <w:t>1.推动高危企业电力检测系统建设。12月底前建设完善矿山等高危企业安全生产电力监测分析系统。</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28</w:t>
            </w:r>
          </w:p>
        </w:tc>
        <w:tc>
          <w:tcPr>
            <w:tcW w:w="1440"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2.</w:t>
            </w:r>
            <w:r>
              <w:rPr>
                <w:rFonts w:hint="eastAsia" w:ascii="仿宋_GB2312" w:hAnsi="宋体" w:eastAsia="仿宋_GB2312" w:cs="仿宋_GB2312"/>
                <w:color w:val="000000"/>
                <w:kern w:val="0"/>
                <w:sz w:val="20"/>
                <w:szCs w:val="20"/>
              </w:rPr>
              <w:t>开展电梯无纸化维保。12月底前实现通过平台对电梯维保质量可追溯。</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县市场监管局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29</w:t>
            </w:r>
          </w:p>
        </w:tc>
        <w:tc>
          <w:tcPr>
            <w:tcW w:w="1440"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3.加快推进城市桥梁检测和安全隐患整治</w:t>
            </w:r>
            <w:r>
              <w:rPr>
                <w:rFonts w:hint="eastAsia" w:ascii="仿宋_GB2312" w:hAnsi="宋体" w:eastAsia="仿宋_GB2312" w:cs="仿宋_GB2312"/>
                <w:i w:val="0"/>
                <w:iCs w:val="0"/>
                <w:color w:val="auto"/>
                <w:kern w:val="0"/>
                <w:sz w:val="20"/>
                <w:szCs w:val="20"/>
                <w:u w:val="none"/>
                <w:lang w:val="en-US" w:eastAsia="zh-CN" w:bidi="ar"/>
              </w:rPr>
              <w:t>。6月份前完成24座城市桥梁问题隐患摸排，并建立信息台账，12月份前完成县本级2座桥梁的检测。</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县城管局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30</w:t>
            </w:r>
          </w:p>
        </w:tc>
        <w:tc>
          <w:tcPr>
            <w:tcW w:w="1440"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4.深入实施公路安全生命防护工程，推进公路危旧桥梁改造，其中实施完成小松桥、古松桥、长乐桥等3座危桥改造工程；实施完成2024年石城县G356线、G206线安全设施精细化提升工</w:t>
            </w:r>
            <w:r>
              <w:rPr>
                <w:rFonts w:hint="eastAsia" w:ascii="仿宋_GB2312" w:hAnsi="宋体" w:eastAsia="仿宋_GB2312" w:cs="仿宋_GB2312"/>
                <w:i w:val="0"/>
                <w:iCs w:val="0"/>
                <w:color w:val="000000"/>
                <w:spacing w:val="-6"/>
                <w:kern w:val="0"/>
                <w:sz w:val="20"/>
                <w:szCs w:val="20"/>
                <w:u w:val="none"/>
                <w:lang w:val="en-US" w:eastAsia="zh-CN" w:bidi="ar"/>
              </w:rPr>
              <w:t>程；实施完成G206石城小松至石子排道路改建工程；实施完成济广高速石城北出口连接线工程。</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FF0000"/>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县公路发展中心</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31</w:t>
            </w:r>
          </w:p>
        </w:tc>
        <w:tc>
          <w:tcPr>
            <w:tcW w:w="1440"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5.提升普通国省干线公路桥梁养护管理水平。实施2024年石城县G356线、G206线安全设施精细化提升工程，及开展分中心普通国省干线公路运行监测及“回头看”工作，按照上级主管部门部署要求，开展“公路安全精品路”创建工作。</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FF0000"/>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县公路发展中心</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32</w:t>
            </w:r>
          </w:p>
        </w:tc>
        <w:tc>
          <w:tcPr>
            <w:tcW w:w="1440"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spacing w:val="-6"/>
                <w:kern w:val="0"/>
                <w:sz w:val="20"/>
                <w:szCs w:val="20"/>
                <w:u w:val="none"/>
                <w:lang w:val="en-US" w:eastAsia="zh-CN" w:bidi="ar"/>
              </w:rPr>
              <w:t>6.深入实施农村公路安全生命防护工程。12月底前完成农村公路村道安全生命防护工程15公里。</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县交通运输局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sz w:val="22"/>
                <w:szCs w:val="22"/>
                <w:u w:val="none"/>
                <w:lang w:val="en-US" w:eastAsia="zh-CN"/>
              </w:rPr>
              <w:t>33</w:t>
            </w:r>
          </w:p>
        </w:tc>
        <w:tc>
          <w:tcPr>
            <w:tcW w:w="1440"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7.推进农村公路危旧桥梁改造。12月底前完成农村公路危桥改造2座。</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县交通运输局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34</w:t>
            </w:r>
          </w:p>
        </w:tc>
        <w:tc>
          <w:tcPr>
            <w:tcW w:w="1440" w:type="dxa"/>
            <w:vMerge w:val="continue"/>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8.开展城市既有民用建筑外立面脱落问题隐患排查整治。分级落实安全隐患防治措施，8月底前基本完成全县既有建筑外立面脱落安全隐患整治。</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县住建局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8月31日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35</w:t>
            </w:r>
          </w:p>
        </w:tc>
        <w:tc>
          <w:tcPr>
            <w:tcW w:w="144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四、开展生产经营单位从业人员安全素质能力提升行动</w:t>
            </w: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四、开展生产经营单位从业人员安全素质能力提升行动</w:t>
            </w: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1.强化矿山企业三</w:t>
            </w:r>
            <w:r>
              <w:rPr>
                <w:rFonts w:hint="eastAsia" w:ascii="仿宋_GB2312" w:hAnsi="宋体" w:eastAsia="仿宋_GB2312" w:cs="仿宋_GB2312"/>
                <w:i w:val="0"/>
                <w:iCs w:val="0"/>
                <w:color w:val="auto"/>
                <w:kern w:val="0"/>
                <w:sz w:val="20"/>
                <w:szCs w:val="20"/>
                <w:u w:val="none"/>
                <w:lang w:val="en-US" w:eastAsia="zh-CN" w:bidi="ar"/>
              </w:rPr>
              <w:t>类人员培训教育。组织矿山企业分管安全生产负责人、专职安全管理人员、班组长等开展工伤预防培训，12月底达到培训率40%。</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36</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2.推动熔化焊接与热切割作业人员持证上岗。督促熔化焊接与热切割作业人员参加培训取证。</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37</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3.定期开展能源领域安全生产培训。年内组织至少2次能源领域安全生产培训，邀请相关领域专家针对电力安全生产、油气长输管道保护以及网络安全等内容进行授课。</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县发改委</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38</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4.开展建筑施工企业全员安全教育培训。完成1000人次培训。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县住建局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39</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5.开展燃气、</w:t>
            </w:r>
            <w:r>
              <w:rPr>
                <w:rFonts w:hint="eastAsia" w:ascii="仿宋_GB2312" w:hAnsi="宋体" w:eastAsia="仿宋_GB2312" w:cs="仿宋_GB2312"/>
                <w:i w:val="0"/>
                <w:iCs w:val="0"/>
                <w:color w:val="auto"/>
                <w:kern w:val="0"/>
                <w:sz w:val="20"/>
                <w:szCs w:val="20"/>
                <w:u w:val="none"/>
                <w:lang w:val="en-US" w:eastAsia="zh-CN" w:bidi="ar"/>
              </w:rPr>
              <w:t>餐饮企业安全教育培训。组织各地对燃气企业、餐饮企业负责人和安全管理人员开展燃气安全教育培训，6月底前完成500人次培训，12月底前完成1000人次培训。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县住建局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40</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spacing w:val="-6"/>
                <w:kern w:val="0"/>
                <w:sz w:val="20"/>
                <w:szCs w:val="20"/>
                <w:u w:val="none"/>
                <w:lang w:val="en-US" w:eastAsia="zh-CN" w:bidi="ar"/>
              </w:rPr>
              <w:t>6.扎实推进农村个体建筑工匠培训。推动开展农村个体建筑工匠培训，12月底前完成培训220名。</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县住建局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41</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7.持续开展消防安全“明白人”培训。年内培训300名社会单位消防安全责任人（管理人）、专兼职消防安全管理人员、消防设施操作（管理）人员。</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县消防救援大队</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42</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8.开展出资监管企业全员培训。督促各出资监管企业对干部职工实施全覆盖培训，6月底前完成50%人员培训，10月底前完成100%人员培训。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县国资委</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10月31日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43</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9.开展水利领域全员安全培训。6月份组织在建工程施工单位主要负责人、项目负责人和专职安全生产管理人员安全生产继续教育培训，10月对局各股室、局属各单位负责人进行培训。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县水利局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44</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10.开展水利领域安全宣传教育活动。3月组织开展“六项机制”宣传教育；6月份组织“六项机制”知识网络答题等“安全生产月”宣教活动。开展五进宣传活动，发放宣传资料</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县水利局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8月31日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45</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11.开展粮食存储领域安全生产大宣传大培训。</w:t>
            </w:r>
            <w:r>
              <w:rPr>
                <w:rFonts w:hint="eastAsia" w:ascii="仿宋_GB2312" w:hAnsi="宋体" w:eastAsia="仿宋_GB2312" w:cs="仿宋_GB2312"/>
                <w:i w:val="0"/>
                <w:iCs w:val="0"/>
                <w:color w:val="auto"/>
                <w:kern w:val="0"/>
                <w:sz w:val="20"/>
                <w:szCs w:val="20"/>
                <w:u w:val="none"/>
                <w:lang w:val="en-US" w:eastAsia="zh-CN" w:bidi="ar"/>
              </w:rPr>
              <w:t>积极参与5月底前各地粮食行政管理部门分管负责人、粮食企事业单位主要负责人、安全员和重点岗位人员全覆盖参加全省安全生产和仓储规范化管理线上培训。组织召开本县级粮食行政管理部门分管负责人、粮食企事业单位主要负责人、安全员和重点岗位人员安全生产和仓储规范化管理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县农业农村局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46</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12.加大农机驾驶员培训考试力度。11月底前完成农机驾驶人员培训50-100人次。</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县农业农村局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47</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13.强化工信监管企业电气焊作业人员</w:t>
            </w:r>
            <w:r>
              <w:rPr>
                <w:rFonts w:hint="eastAsia" w:ascii="仿宋_GB2312" w:hAnsi="宋体" w:eastAsia="仿宋_GB2312" w:cs="仿宋_GB2312"/>
                <w:i w:val="0"/>
                <w:iCs w:val="0"/>
                <w:color w:val="auto"/>
                <w:kern w:val="0"/>
                <w:sz w:val="20"/>
                <w:szCs w:val="20"/>
                <w:u w:val="none"/>
                <w:lang w:val="en-US" w:eastAsia="zh-CN" w:bidi="ar"/>
              </w:rPr>
              <w:t>培训考核。5月底前摸排并建立</w:t>
            </w:r>
            <w:r>
              <w:rPr>
                <w:rFonts w:hint="eastAsia" w:ascii="仿宋_GB2312" w:hAnsi="宋体" w:eastAsia="仿宋_GB2312" w:cs="仿宋_GB2312"/>
                <w:i w:val="0"/>
                <w:iCs w:val="0"/>
                <w:color w:val="000000"/>
                <w:kern w:val="0"/>
                <w:sz w:val="20"/>
                <w:szCs w:val="20"/>
                <w:u w:val="none"/>
                <w:lang w:val="en-US" w:eastAsia="zh-CN" w:bidi="ar"/>
              </w:rPr>
              <w:t>监管企业电气焊作业人员基本台账，不定期提醒到期的人员按时参加培训教育和复审考核。</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县工信局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48</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14.开展工程项目、公路养护等一线作业人员安全教育培训，组织单位人员安全知识技能比赛，积极参加市公路发展中心“路安杯”安全知识技能大赛。</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FF0000"/>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县公路发展中心</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sz w:val="22"/>
                <w:szCs w:val="22"/>
                <w:u w:val="none"/>
                <w:lang w:val="en-US" w:eastAsia="zh-CN"/>
              </w:rPr>
              <w:t>49</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15.加强养老机构工作人员疏散逃生避险意识能力提升，推动民政系统养老服务机构每半年至</w:t>
            </w:r>
            <w:r>
              <w:rPr>
                <w:rFonts w:hint="eastAsia" w:ascii="仿宋_GB2312" w:hAnsi="宋体" w:eastAsia="仿宋_GB2312" w:cs="仿宋_GB2312"/>
                <w:i w:val="0"/>
                <w:iCs w:val="0"/>
                <w:color w:val="auto"/>
                <w:spacing w:val="-6"/>
                <w:kern w:val="0"/>
                <w:sz w:val="20"/>
                <w:szCs w:val="20"/>
                <w:u w:val="none"/>
                <w:lang w:val="en-US" w:eastAsia="zh-CN" w:bidi="ar"/>
              </w:rPr>
              <w:t>少组织开展1 次疏散逃生演练，让全体工作人员熟知逃生避险及应急处置要求，形成常态化机制。</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县民政局</w:t>
            </w:r>
          </w:p>
        </w:tc>
        <w:tc>
          <w:tcPr>
            <w:tcW w:w="1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0" w:beforeAutospacing="0" w:after="0" w:afterAutospacing="0"/>
              <w:ind w:left="0" w:right="0"/>
              <w:jc w:val="left"/>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0" w:beforeAutospacing="0" w:after="0" w:afterAutospacing="0"/>
              <w:ind w:left="0" w:right="0"/>
              <w:jc w:val="left"/>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50</w:t>
            </w:r>
          </w:p>
        </w:tc>
        <w:tc>
          <w:tcPr>
            <w:tcW w:w="1440" w:type="dxa"/>
            <w:vMerge w:val="restart"/>
            <w:tcBorders>
              <w:top w:val="single" w:color="auto" w:sz="4" w:space="0"/>
              <w:left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五、开展生产经营单位安全管理体系建设行动</w:t>
            </w: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1.推进建筑工地标准化创建工作。督促建筑施工企业加大安全生产投入。</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县住建局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51</w:t>
            </w:r>
          </w:p>
        </w:tc>
        <w:tc>
          <w:tcPr>
            <w:tcW w:w="1440" w:type="dxa"/>
            <w:vMerge w:val="continue"/>
            <w:tcBorders>
              <w:left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2.开展学校消防安全标准化管理达标创建。确保属地所有学校消防安全标准化管理达标不低于C级，30%学校不低于B级，2-5所学校达到A级。</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县教科体局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sz w:val="22"/>
                <w:szCs w:val="22"/>
                <w:u w:val="none"/>
                <w:lang w:val="en-US" w:eastAsia="zh-CN"/>
              </w:rPr>
              <w:t>52</w:t>
            </w:r>
          </w:p>
        </w:tc>
        <w:tc>
          <w:tcPr>
            <w:tcW w:w="1440" w:type="dxa"/>
            <w:vMerge w:val="continue"/>
            <w:tcBorders>
              <w:left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3.实施企业分级分类安全管理。督促各出资监管企业健全安全风险分级管控和隐患排查治理双重预防机制，10月底前完成“一图一牌三清单”等公告公示。</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县国资委</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53</w:t>
            </w:r>
          </w:p>
        </w:tc>
        <w:tc>
          <w:tcPr>
            <w:tcW w:w="1440" w:type="dxa"/>
            <w:vMerge w:val="continue"/>
            <w:tcBorders>
              <w:left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4.建立健全安全生产责任制。督促各出资监管企业建立健全覆盖各岗位、各工种的安全生产责任制，6月底前制定完善安全生产责任制度，10月底前完成重要人员安全生产责任清单。</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县国资委</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54</w:t>
            </w:r>
          </w:p>
        </w:tc>
        <w:tc>
          <w:tcPr>
            <w:tcW w:w="1440" w:type="dxa"/>
            <w:vMerge w:val="continue"/>
            <w:tcBorders>
              <w:left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5.常态化开展安全隐患排查整治。5月底前推动县供销系统对安全生产实行网格化管理，确保安全生产责任到人，5月至12月对社属企业安全生产情况进行抽查，对发现的问题进行通报。</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县供销社</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55</w:t>
            </w:r>
          </w:p>
        </w:tc>
        <w:tc>
          <w:tcPr>
            <w:tcW w:w="1440" w:type="dxa"/>
            <w:vMerge w:val="continue"/>
            <w:tcBorders>
              <w:left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w:t>
            </w:r>
            <w:r>
              <w:rPr>
                <w:rFonts w:hint="eastAsia" w:ascii="仿宋_GB2312" w:hAnsi="宋体" w:eastAsia="仿宋_GB2312" w:cs="仿宋_GB2312"/>
                <w:color w:val="000000"/>
                <w:kern w:val="0"/>
                <w:sz w:val="20"/>
                <w:szCs w:val="20"/>
              </w:rPr>
              <w:t>开展特种设备人员任命信息录入。推动特种设备生产使用单位主体责任落实，按规定配备（质量）安全总监、（质量）安全员并完成书面任命， 12月底全面完成。</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县市场监管局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56</w:t>
            </w:r>
          </w:p>
        </w:tc>
        <w:tc>
          <w:tcPr>
            <w:tcW w:w="1440" w:type="dxa"/>
            <w:vMerge w:val="continue"/>
            <w:tcBorders>
              <w:left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w:t>
            </w:r>
            <w:r>
              <w:rPr>
                <w:rFonts w:hint="eastAsia" w:ascii="仿宋_GB2312" w:hAnsi="宋体" w:eastAsia="仿宋_GB2312" w:cs="仿宋_GB2312"/>
                <w:color w:val="000000"/>
                <w:kern w:val="0"/>
                <w:sz w:val="20"/>
                <w:szCs w:val="20"/>
              </w:rPr>
              <w:t>加强质量安全监管。压实工业产品生产、强制性认证产品等生产单位质量安全主体责任，督促相关企业在12月底前配备必要的质量安全管理人员并建立风险管控清单。</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县市场监管局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3" w:hRule="atLeast"/>
          <w:jc w:val="center"/>
        </w:trPr>
        <w:tc>
          <w:tcPr>
            <w:tcW w:w="70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57</w:t>
            </w:r>
          </w:p>
        </w:tc>
        <w:tc>
          <w:tcPr>
            <w:tcW w:w="1440" w:type="dxa"/>
            <w:vMerge w:val="continue"/>
            <w:tcBorders>
              <w:left w:val="single" w:color="000000"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color w:val="auto"/>
                <w:kern w:val="0"/>
                <w:sz w:val="20"/>
                <w:szCs w:val="20"/>
                <w:lang w:val="en-US" w:eastAsia="zh-CN"/>
              </w:rPr>
            </w:pPr>
            <w:r>
              <w:rPr>
                <w:rFonts w:hint="eastAsia" w:ascii="仿宋_GB2312" w:hAnsi="宋体" w:eastAsia="仿宋_GB2312" w:cs="仿宋_GB2312"/>
                <w:color w:val="auto"/>
                <w:kern w:val="0"/>
                <w:sz w:val="20"/>
                <w:szCs w:val="20"/>
                <w:lang w:val="en-US" w:eastAsia="zh-CN"/>
              </w:rPr>
              <w:t>8</w:t>
            </w:r>
            <w:r>
              <w:rPr>
                <w:rFonts w:hint="eastAsia" w:ascii="仿宋_GB2312" w:hAnsi="宋体" w:eastAsia="仿宋_GB2312" w:cs="仿宋_GB2312"/>
                <w:color w:val="auto"/>
                <w:kern w:val="0"/>
                <w:sz w:val="20"/>
                <w:szCs w:val="20"/>
              </w:rPr>
              <w:t>.持续鼓励推进工贸企业创建安全生产标准化，增强企业自主安全管理的内生动力。</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color w:val="auto"/>
                <w:kern w:val="0"/>
                <w:sz w:val="20"/>
                <w:szCs w:val="20"/>
                <w:lang w:val="en-US" w:eastAsia="zh-CN"/>
              </w:rPr>
            </w:pPr>
            <w:r>
              <w:rPr>
                <w:rFonts w:hint="eastAsia" w:ascii="仿宋_GB2312" w:hAnsi="宋体" w:eastAsia="仿宋_GB2312" w:cs="仿宋_GB2312"/>
                <w:color w:val="auto"/>
                <w:kern w:val="0"/>
                <w:sz w:val="20"/>
                <w:szCs w:val="20"/>
                <w:lang w:eastAsia="zh-CN"/>
              </w:rPr>
              <w:t>县</w:t>
            </w:r>
            <w:r>
              <w:rPr>
                <w:rFonts w:hint="eastAsia" w:ascii="仿宋_GB2312" w:hAnsi="宋体" w:eastAsia="仿宋_GB2312" w:cs="仿宋_GB2312"/>
                <w:color w:val="auto"/>
                <w:kern w:val="0"/>
                <w:sz w:val="20"/>
                <w:szCs w:val="20"/>
              </w:rPr>
              <w:t>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color w:val="auto"/>
                <w:kern w:val="0"/>
                <w:sz w:val="20"/>
                <w:szCs w:val="20"/>
                <w:lang w:val="en-US" w:eastAsia="zh-CN"/>
              </w:rPr>
            </w:pPr>
            <w:r>
              <w:rPr>
                <w:rFonts w:hint="eastAsia" w:ascii="仿宋_GB2312" w:hAnsi="宋体" w:eastAsia="仿宋_GB2312" w:cs="仿宋_GB2312"/>
                <w:color w:val="auto"/>
                <w:kern w:val="0"/>
                <w:sz w:val="20"/>
                <w:szCs w:val="20"/>
              </w:rPr>
              <w:t>12月3</w:t>
            </w:r>
            <w:r>
              <w:rPr>
                <w:rFonts w:hint="eastAsia" w:ascii="仿宋_GB2312" w:hAnsi="宋体" w:eastAsia="仿宋_GB2312" w:cs="仿宋_GB2312"/>
                <w:color w:val="auto"/>
                <w:kern w:val="0"/>
                <w:sz w:val="20"/>
                <w:szCs w:val="20"/>
                <w:lang w:val="en-US" w:eastAsia="zh-CN"/>
              </w:rPr>
              <w:t>1</w:t>
            </w:r>
            <w:r>
              <w:rPr>
                <w:rFonts w:hint="eastAsia" w:ascii="仿宋_GB2312" w:hAnsi="宋体" w:eastAsia="仿宋_GB2312" w:cs="仿宋_GB2312"/>
                <w:color w:val="auto"/>
                <w:kern w:val="0"/>
                <w:sz w:val="20"/>
                <w:szCs w:val="20"/>
              </w:rPr>
              <w:t>日</w:t>
            </w:r>
          </w:p>
        </w:tc>
        <w:tc>
          <w:tcPr>
            <w:tcW w:w="1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exact"/>
              <w:ind w:left="0" w:right="0"/>
              <w:jc w:val="center"/>
              <w:textAlignment w:val="auto"/>
              <w:rPr>
                <w:rFonts w:hint="eastAsia" w:ascii="浠垮畫_GB2312" w:hAnsi="浠垮畫_GB2312" w:eastAsia="浠垮畫_GB2312" w:cs="Times New Roman"/>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58</w:t>
            </w:r>
          </w:p>
        </w:tc>
        <w:tc>
          <w:tcPr>
            <w:tcW w:w="144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六、开展精准执法和帮扶行动</w:t>
            </w: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0"/>
                <w:sz w:val="22"/>
                <w:szCs w:val="22"/>
                <w:u w:val="none"/>
                <w:lang w:val="en-US" w:eastAsia="zh-CN" w:bidi="ar"/>
              </w:rPr>
            </w:pP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六、开展精准执法和帮扶行动</w:t>
            </w: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default" w:ascii="仿宋_GB2312" w:hAnsi="宋体" w:eastAsia="仿宋_GB2312" w:cs="仿宋_GB2312"/>
                <w:i w:val="0"/>
                <w:iCs w:val="0"/>
                <w:color w:val="FF0000"/>
                <w:sz w:val="20"/>
                <w:szCs w:val="20"/>
                <w:u w:val="none"/>
                <w:lang w:val="en-US" w:eastAsia="zh-CN"/>
              </w:rPr>
            </w:pPr>
            <w:r>
              <w:rPr>
                <w:rFonts w:hint="eastAsia" w:ascii="仿宋_GB2312" w:hAnsi="宋体" w:eastAsia="仿宋_GB2312" w:cs="仿宋_GB2312"/>
                <w:color w:val="000000"/>
                <w:kern w:val="0"/>
                <w:sz w:val="20"/>
                <w:szCs w:val="20"/>
                <w:lang w:val="en-US" w:eastAsia="zh-CN"/>
              </w:rPr>
              <w:t>1.开展危险化学品流通领域“打非治违”行动</w:t>
            </w:r>
            <w:r>
              <w:rPr>
                <w:rFonts w:hint="eastAsia" w:ascii="仿宋_GB2312" w:hAnsi="宋体" w:eastAsia="仿宋_GB2312" w:cs="仿宋_GB2312"/>
                <w:color w:val="auto"/>
                <w:kern w:val="0"/>
                <w:sz w:val="20"/>
                <w:szCs w:val="20"/>
                <w:lang w:val="en-US" w:eastAsia="zh-CN"/>
              </w:rPr>
              <w:t>。5月底前全面清退市场上非法流通的危险化学品，6月-12月，对仍然从事非法经营危险化学品的，严格按照《危险化学品安全管理条例》等相关法律法规严肃处理。</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59</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2.开展工贸领域专项执法检查。6月底前组织开展粉尘涉爆企业执法检查，10月底前完成全县</w:t>
            </w:r>
            <w:r>
              <w:rPr>
                <w:rFonts w:hint="eastAsia" w:ascii="仿宋_GB2312" w:hAnsi="宋体" w:eastAsia="仿宋_GB2312" w:cs="仿宋_GB2312"/>
                <w:i w:val="0"/>
                <w:iCs w:val="0"/>
                <w:color w:val="auto"/>
                <w:spacing w:val="-6"/>
                <w:kern w:val="0"/>
                <w:sz w:val="20"/>
                <w:szCs w:val="20"/>
                <w:u w:val="none"/>
                <w:lang w:val="en-US" w:eastAsia="zh-CN" w:bidi="ar"/>
              </w:rPr>
              <w:t>工贸重点企业有限空间专家指导服务，12月底前对涉及特殊作业的重点企业开展专项执法检查。</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10月31日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60</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spacing w:val="-6"/>
                <w:kern w:val="0"/>
                <w:sz w:val="20"/>
                <w:szCs w:val="20"/>
                <w:u w:val="none"/>
                <w:lang w:val="en-US" w:eastAsia="zh-CN" w:bidi="ar"/>
              </w:rPr>
              <w:t>3.组织民用爆炸物品监管业务培训。7月底前制定培训工作方案，10月底前完成监管民警培训任务。</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县公安局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10月31日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61</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4.开展烟花爆竹“打非治违”行动。严厉打击非法运输烟花爆竹等违法犯罪行为，5月底制定专项行动工作方案，10月底形成专项行动工作总结。</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县公安局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10月31日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62</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5.强化消防安全监督执法人员培训。12月底前组织消防安全监督执法人员开展一次全员培训。</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县消防救援大队</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63</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6.</w:t>
            </w:r>
            <w:r>
              <w:rPr>
                <w:rFonts w:hint="eastAsia" w:ascii="仿宋_GB2312" w:hAnsi="宋体" w:eastAsia="仿宋_GB2312" w:cs="仿宋_GB2312"/>
                <w:i w:val="0"/>
                <w:iCs w:val="0"/>
                <w:color w:val="000000"/>
                <w:kern w:val="0"/>
                <w:sz w:val="20"/>
                <w:szCs w:val="20"/>
                <w:highlight w:val="none"/>
                <w:u w:val="none"/>
                <w:lang w:val="en-US" w:eastAsia="zh-CN" w:bidi="ar"/>
              </w:rPr>
              <w:t>开展联合执法检查活动。10月底前联合公安局对民爆销售企业完成“双随机、一公开”执法检查工作。</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县工信局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10月31日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sz w:val="22"/>
                <w:szCs w:val="22"/>
                <w:u w:val="none"/>
                <w:lang w:val="en-US" w:eastAsia="zh-CN"/>
              </w:rPr>
              <w:t>64</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7.充</w:t>
            </w:r>
            <w:r>
              <w:rPr>
                <w:rFonts w:hint="eastAsia" w:ascii="仿宋_GB2312" w:hAnsi="宋体" w:eastAsia="仿宋_GB2312" w:cs="仿宋_GB2312"/>
                <w:i w:val="0"/>
                <w:iCs w:val="0"/>
                <w:color w:val="000000"/>
                <w:spacing w:val="-6"/>
                <w:kern w:val="0"/>
                <w:sz w:val="20"/>
                <w:szCs w:val="20"/>
                <w:u w:val="none"/>
                <w:lang w:val="en-US" w:eastAsia="zh-CN" w:bidi="ar"/>
              </w:rPr>
              <w:t>分利用信息化平台，</w:t>
            </w:r>
            <w:r>
              <w:rPr>
                <w:rFonts w:hint="eastAsia" w:ascii="仿宋_GB2312" w:hAnsi="宋体" w:eastAsia="仿宋_GB2312" w:cs="仿宋_GB2312"/>
                <w:i w:val="0"/>
                <w:iCs w:val="0"/>
                <w:color w:val="auto"/>
                <w:spacing w:val="-6"/>
                <w:kern w:val="0"/>
                <w:sz w:val="20"/>
                <w:szCs w:val="20"/>
                <w:u w:val="none"/>
                <w:lang w:val="en-US" w:eastAsia="zh-CN" w:bidi="ar"/>
              </w:rPr>
              <w:t>每日抽查通报客车超员、超速、疲劳驾驶、凌晨闯禁行、脱离监控、轨迹异常、包车异地经营、包车未备案等动态违规行为，定</w:t>
            </w:r>
            <w:r>
              <w:rPr>
                <w:rFonts w:hint="eastAsia" w:ascii="仿宋_GB2312" w:hAnsi="宋体" w:eastAsia="仿宋_GB2312" w:cs="仿宋_GB2312"/>
                <w:i w:val="0"/>
                <w:iCs w:val="0"/>
                <w:color w:val="000000"/>
                <w:spacing w:val="-6"/>
                <w:kern w:val="0"/>
                <w:sz w:val="20"/>
                <w:szCs w:val="20"/>
                <w:u w:val="none"/>
                <w:lang w:val="en-US" w:eastAsia="zh-CN" w:bidi="ar"/>
              </w:rPr>
              <w:t>期梳理通报客车未入网、逾期未年审、逾期未换证、“两证”不符等静态违规行为，督促企业落实整改。综合运用督促督办、警示约谈、检查执法、信用惩戒、公开曝光等措施，进一步加大违规行为惩处力度，推动客运安全隐患动态清零。</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县交通运输局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auto"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65</w:t>
            </w:r>
          </w:p>
        </w:tc>
        <w:tc>
          <w:tcPr>
            <w:tcW w:w="1440" w:type="dxa"/>
            <w:vMerge w:val="continue"/>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8.全方位排查整治环卫领域风险隐患。对全县1家生活垃圾填埋场、1家餐厨垃圾处理中心等环卫设施进行全方位排查整治，6月份前完成各单位自查自改，建立隐患台账，12月份前完成督导督查。</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县城管局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66</w:t>
            </w:r>
          </w:p>
        </w:tc>
        <w:tc>
          <w:tcPr>
            <w:tcW w:w="1440"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9.全面排查整治共享二轮车领域风险隐患，完成对共享二轮车企业充电设施不规范、消防设施器材不全、选址不合规等进行整治，6月份前完成各自单位自查自改，建立隐患台账，10月份前完成督导督查。</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县城管局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10月31日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67</w:t>
            </w:r>
          </w:p>
        </w:tc>
        <w:tc>
          <w:tcPr>
            <w:tcW w:w="1440"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10.加强石城县气象灾害防御重点单位指导检查。指导气象灾害防御重点单位6月底前完成应急预案等制度编制，11月底前完成气象灾害防御重点单位检查、培训全覆盖。</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县气象局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11月30日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68</w:t>
            </w:r>
          </w:p>
        </w:tc>
        <w:tc>
          <w:tcPr>
            <w:tcW w:w="1440"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11.</w:t>
            </w:r>
            <w:r>
              <w:rPr>
                <w:rFonts w:hint="eastAsia" w:ascii="仿宋_GB2312" w:hAnsi="宋体" w:eastAsia="仿宋_GB2312" w:cs="仿宋_GB2312"/>
                <w:color w:val="000000"/>
                <w:kern w:val="0"/>
                <w:sz w:val="20"/>
                <w:szCs w:val="20"/>
              </w:rPr>
              <w:t>开展特种设备“四个一”帮扶指导活动，12月底前完成年度帮扶指导活动。</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县市场监管局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69</w:t>
            </w:r>
          </w:p>
        </w:tc>
        <w:tc>
          <w:tcPr>
            <w:tcW w:w="1440"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12.开展矿产资源领域“打非治违”行动。严厉打击无证勘查开采和矿山超层越界开采的违法违规行为。</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县自然资源局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70</w:t>
            </w:r>
          </w:p>
        </w:tc>
        <w:tc>
          <w:tcPr>
            <w:tcW w:w="1440" w:type="dxa"/>
            <w:vMerge w:val="continue"/>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13.强化重点交通违法严管严查。加强严重交通违法行为动态研判和常态治理，依法严查“三超一疲劳”、酒驾醉驾等易肇事肇祸的严重违法行为，突出农村地区交通安全管控，坚持开展二三轮车整治、酒醉驾夜查等专项行动。</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spacing w:val="-11"/>
                <w:kern w:val="0"/>
                <w:sz w:val="20"/>
                <w:szCs w:val="20"/>
                <w:u w:val="none"/>
                <w:shd w:val="clear" w:color="auto" w:fill="auto"/>
                <w:lang w:val="en-US" w:eastAsia="zh-CN" w:bidi="ar"/>
              </w:rPr>
              <w:t>县公安局交警大队</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71</w:t>
            </w:r>
          </w:p>
        </w:tc>
        <w:tc>
          <w:tcPr>
            <w:tcW w:w="144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七、开展全民安全素质提升行动</w:t>
            </w: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开展安全生产集中宣传活动。组织开展“5·12”防灾减灾宣传日、“6·16”安全生产月宣传咨询日等大型主题宣教活动，组织各地各行业部门通过集中宣传、“五进”宣传，营造人人讲安全、个个会应急的浓厚氛围。</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6月30日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9"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72</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2.突出抓好预防中小学生溺水工作。细化一个任务清单，组织学生安全知识默写，落实一本重点人员台账，持续开展一系列安全教育活动。</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县教科体局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5"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73</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3.持续开展一系列学校安全教育活动。开展“1530”安全教育提醒，即每天放学前1分钟、每周放假前5分钟、每个节假日放假前30分钟，集中开展以防溺水、消防为重点的学校安全教育。</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县教科体局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4" w:hRule="atLeast"/>
          <w:jc w:val="center"/>
        </w:trPr>
        <w:tc>
          <w:tcPr>
            <w:tcW w:w="70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74</w:t>
            </w: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4.大力开展群众体育安全宣传教育活动。5月-8月开展“体育安全宣传进社区”志愿服务活动，9月-12月开展“体育场馆安全”警示教育。</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县教科体局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4"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75</w:t>
            </w:r>
          </w:p>
        </w:tc>
        <w:tc>
          <w:tcPr>
            <w:tcW w:w="1440" w:type="dxa"/>
            <w:vMerge w:val="restart"/>
            <w:tcBorders>
              <w:top w:val="single" w:color="auto" w:sz="4" w:space="0"/>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八、开展风险分级管控行动</w:t>
            </w: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auto"/>
                <w:kern w:val="0"/>
                <w:sz w:val="20"/>
                <w:szCs w:val="20"/>
                <w:u w:val="none"/>
                <w:lang w:val="en-US" w:eastAsia="zh-CN" w:bidi="ar"/>
              </w:rPr>
              <w:t>1.所有烟花爆竹批发企业安全风险分级管控和隐患排查治理双重预防机制完善到位。8月底前企业创建完善双重预防机制；12月底前市局完成核查。</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76</w:t>
            </w:r>
          </w:p>
        </w:tc>
        <w:tc>
          <w:tcPr>
            <w:tcW w:w="1440" w:type="dxa"/>
            <w:vMerge w:val="continue"/>
            <w:tcBorders>
              <w:left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2.5月10日前完成实施矿山企业“一图一牌三清单”公示。</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5月10日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77</w:t>
            </w:r>
          </w:p>
        </w:tc>
        <w:tc>
          <w:tcPr>
            <w:tcW w:w="1440" w:type="dxa"/>
            <w:vMerge w:val="continue"/>
            <w:tcBorders>
              <w:left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2"/>
                <w:sz w:val="20"/>
                <w:szCs w:val="20"/>
                <w:u w:val="none"/>
                <w:lang w:val="en-US" w:eastAsia="zh-CN" w:bidi="ar-SA"/>
              </w:rPr>
              <w:t>3.强化重点道路运输企业风险防范化解。依托市公安局交警支队客货运输企业风险画像分析和结果应用平台，区分鉴别高、中、低风险客货运输企业，通报行业主管部门，推动相关部门加强安全监管，督促运输企业落实主体责任。</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spacing w:val="-11"/>
                <w:kern w:val="0"/>
                <w:sz w:val="20"/>
                <w:szCs w:val="20"/>
                <w:u w:val="none"/>
                <w:shd w:val="clear" w:color="auto" w:fill="auto"/>
                <w:lang w:val="en-US" w:eastAsia="zh-CN" w:bidi="ar"/>
              </w:rPr>
              <w:t>县公安局交警大队</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2"/>
                <w:sz w:val="20"/>
                <w:szCs w:val="20"/>
                <w:u w:val="none"/>
                <w:lang w:val="en-US" w:eastAsia="zh-CN" w:bidi="ar-SA"/>
              </w:rPr>
            </w:pPr>
            <w:r>
              <w:rPr>
                <w:rFonts w:hint="eastAsia" w:ascii="仿宋_GB2312" w:hAnsi="宋体" w:eastAsia="仿宋_GB2312" w:cs="仿宋_GB2312"/>
                <w:i w:val="0"/>
                <w:iCs w:val="0"/>
                <w:color w:val="auto"/>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4"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sz w:val="22"/>
                <w:szCs w:val="22"/>
                <w:u w:val="none"/>
                <w:lang w:val="en-US" w:eastAsia="zh-CN"/>
              </w:rPr>
              <w:t>78</w:t>
            </w:r>
          </w:p>
        </w:tc>
        <w:tc>
          <w:tcPr>
            <w:tcW w:w="1440" w:type="dxa"/>
            <w:vMerge w:val="continue"/>
            <w:tcBorders>
              <w:left w:val="single" w:color="000000"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4.制定完善体育赛事活动应急预案。5月份开始举办全县7个项目中小学生体育竞赛，5月中旬前制定安全风险管控应急预案和完成安全风险评估。</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县教科体局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5月15日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79</w:t>
            </w:r>
          </w:p>
        </w:tc>
        <w:tc>
          <w:tcPr>
            <w:tcW w:w="1440" w:type="dxa"/>
            <w:vMerge w:val="restart"/>
            <w:tcBorders>
              <w:top w:val="single" w:color="auto" w:sz="4" w:space="0"/>
              <w:left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九、开展应急救援能力提升行动</w:t>
            </w: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1.定期开展应急演练。组织各行业领域生产经营单位每年至少组织开展1次疏散逃生演练，其中高危行业领域每半年至少开展1次。</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县直各负有安全监管和行业管理的部门</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3"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0"/>
                <w:sz w:val="22"/>
                <w:szCs w:val="22"/>
                <w:u w:val="none"/>
                <w:lang w:val="en-US" w:eastAsia="zh-CN" w:bidi="ar"/>
              </w:rPr>
              <w:t>80</w:t>
            </w:r>
          </w:p>
        </w:tc>
        <w:tc>
          <w:tcPr>
            <w:tcW w:w="1440" w:type="dxa"/>
            <w:vMerge w:val="continue"/>
            <w:tcBorders>
              <w:left w:val="single" w:color="000000"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2.二级以上医疗机构每年至少组织一次综合应急预案演练或者专项应急预案演练(其中必须包含1次疏散逃生演练),每半年至少开展一次经常性现场处置方案的演练。</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县卫健委</w:t>
            </w:r>
          </w:p>
        </w:tc>
        <w:tc>
          <w:tcPr>
            <w:tcW w:w="12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2"/>
                <w:sz w:val="22"/>
                <w:szCs w:val="22"/>
                <w:u w:val="none"/>
                <w:lang w:val="en-US" w:eastAsia="zh-CN" w:bidi="ar-SA"/>
              </w:rPr>
              <w:t>81</w:t>
            </w:r>
          </w:p>
        </w:tc>
        <w:tc>
          <w:tcPr>
            <w:tcW w:w="1440" w:type="dxa"/>
            <w:vMerge w:val="restart"/>
            <w:tcBorders>
              <w:top w:val="single" w:color="auto" w:sz="4" w:space="0"/>
              <w:left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十、开展基层基础提升行动</w:t>
            </w: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1.开展防灾减灾能力和历史灾害普查。建立承灾体，减灾能力和历史灾害等普查成果数据库，并纳入应急指挥中心平台建设。</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12月31日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3" w:hRule="atLeast"/>
          <w:jc w:val="center"/>
        </w:trPr>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2"/>
                <w:sz w:val="22"/>
                <w:szCs w:val="22"/>
                <w:u w:val="none"/>
                <w:lang w:val="en-US" w:eastAsia="zh-CN" w:bidi="ar-SA"/>
              </w:rPr>
            </w:pPr>
            <w:r>
              <w:rPr>
                <w:rFonts w:hint="eastAsia" w:ascii="黑体" w:hAnsi="宋体" w:eastAsia="黑体" w:cs="黑体"/>
                <w:i w:val="0"/>
                <w:iCs w:val="0"/>
                <w:color w:val="000000"/>
                <w:kern w:val="2"/>
                <w:sz w:val="22"/>
                <w:szCs w:val="22"/>
                <w:u w:val="none"/>
                <w:lang w:val="en-US" w:eastAsia="zh-CN" w:bidi="ar-SA"/>
              </w:rPr>
              <w:t>82</w:t>
            </w:r>
          </w:p>
        </w:tc>
        <w:tc>
          <w:tcPr>
            <w:tcW w:w="1440" w:type="dxa"/>
            <w:vMerge w:val="continue"/>
            <w:tcBorders>
              <w:left w:val="single" w:color="000000" w:sz="4" w:space="0"/>
              <w:bottom w:val="single" w:color="auto"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黑体" w:hAnsi="宋体" w:eastAsia="黑体" w:cs="黑体"/>
                <w:i w:val="0"/>
                <w:iCs w:val="0"/>
                <w:color w:val="000000"/>
                <w:sz w:val="22"/>
                <w:szCs w:val="22"/>
                <w:u w:val="none"/>
              </w:rPr>
            </w:pPr>
          </w:p>
        </w:tc>
        <w:tc>
          <w:tcPr>
            <w:tcW w:w="8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2.建设受灾群众集中安置点。全面推动受灾群众集中安置点规范化建设，提高受灾群众救助水平。</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县应急管理局</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2"/>
                <w:sz w:val="20"/>
                <w:szCs w:val="20"/>
                <w:u w:val="none"/>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7月31日</w:t>
            </w:r>
          </w:p>
        </w:tc>
        <w:tc>
          <w:tcPr>
            <w:tcW w:w="12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0"/>
                <w:szCs w:val="20"/>
                <w:u w:val="none"/>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黑体" w:cs="黑体"/>
          <w:sz w:val="32"/>
          <w:szCs w:val="32"/>
          <w:lang w:val="en-US" w:eastAsia="zh-CN"/>
        </w:rPr>
        <w:sectPr>
          <w:pgSz w:w="16838" w:h="11906" w:orient="landscape"/>
          <w:pgMar w:top="1587" w:right="1644" w:bottom="1531" w:left="1644" w:header="851" w:footer="1134" w:gutter="0"/>
          <w:pgBorders>
            <w:top w:val="none" w:sz="0" w:space="0"/>
            <w:left w:val="none" w:sz="0" w:space="0"/>
            <w:bottom w:val="none" w:sz="0" w:space="0"/>
            <w:right w:val="none" w:sz="0" w:space="0"/>
          </w:pgBorders>
          <w:pgNumType w:fmt="decimal"/>
          <w:cols w:space="720" w:num="1"/>
          <w:rtlGutter w:val="0"/>
          <w:docGrid w:type="lines" w:linePitch="319" w:charSpace="0"/>
        </w:sectPr>
      </w:pPr>
    </w:p>
    <w:p>
      <w:pPr>
        <w:pStyle w:val="3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方正小标宋简体" w:cs="方正小标宋简体"/>
          <w:color w:val="000000" w:themeColor="text1"/>
          <w:kern w:val="2"/>
          <w:sz w:val="44"/>
          <w:szCs w:val="44"/>
          <w:lang w:val="en-US" w:eastAsia="zh-CN" w:bidi="ar-SA"/>
          <w14:textFill>
            <w14:solidFill>
              <w14:schemeClr w14:val="tx1"/>
            </w14:solidFill>
          </w14:textFill>
        </w:rPr>
      </w:pPr>
    </w:p>
    <w:p>
      <w:pPr>
        <w:pStyle w:val="33"/>
        <w:keepNext w:val="0"/>
        <w:keepLines w:val="0"/>
        <w:pageBreakBefore w:val="0"/>
        <w:widowControl/>
        <w:kinsoku w:val="0"/>
        <w:wordWrap/>
        <w:overflowPunct/>
        <w:topLinePunct w:val="0"/>
        <w:autoSpaceDE w:val="0"/>
        <w:autoSpaceDN w:val="0"/>
        <w:bidi w:val="0"/>
        <w:adjustRightInd w:val="0"/>
        <w:snapToGrid w:val="0"/>
        <w:spacing w:beforeAutospacing="0" w:afterAutospacing="0"/>
        <w:textAlignment w:val="baseline"/>
        <w:rPr>
          <w:rFonts w:hint="eastAsia"/>
          <w:color w:val="000000"/>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150"/>
        <w:textAlignment w:val="auto"/>
        <w:rPr>
          <w:rFonts w:hint="eastAsia" w:ascii="仿宋_GB2312" w:hAnsi="仿宋_GB2312" w:eastAsia="仿宋_GB2312" w:cs="仿宋_GB2312"/>
          <w:color w:val="000000"/>
          <w:kern w:val="0"/>
          <w:sz w:val="32"/>
          <w:szCs w:val="32"/>
        </w:rPr>
      </w:pPr>
      <w:r>
        <w:rPr>
          <w:rFonts w:hint="eastAsia" w:ascii="仿宋_GB2312" w:eastAsia="仿宋_GB2312"/>
          <w:color w:val="000000"/>
          <w:sz w:val="32"/>
          <w:szCs w:val="32"/>
        </w:rPr>
        <mc:AlternateContent>
          <mc:Choice Requires="wps">
            <w:drawing>
              <wp:anchor distT="0" distB="0" distL="114300" distR="114300" simplePos="0" relativeHeight="251663360" behindDoc="0" locked="0" layoutInCell="1" allowOverlap="1">
                <wp:simplePos x="0" y="0"/>
                <wp:positionH relativeFrom="column">
                  <wp:posOffset>132080</wp:posOffset>
                </wp:positionH>
                <wp:positionV relativeFrom="paragraph">
                  <wp:posOffset>1905</wp:posOffset>
                </wp:positionV>
                <wp:extent cx="5342255" cy="3175"/>
                <wp:effectExtent l="0" t="0" r="0" b="0"/>
                <wp:wrapNone/>
                <wp:docPr id="8" name="直接连接符 8"/>
                <wp:cNvGraphicFramePr/>
                <a:graphic xmlns:a="http://schemas.openxmlformats.org/drawingml/2006/main">
                  <a:graphicData uri="http://schemas.microsoft.com/office/word/2010/wordprocessingShape">
                    <wps:wsp>
                      <wps:cNvCnPr/>
                      <wps:spPr>
                        <a:xfrm flipV="1">
                          <a:off x="0" y="0"/>
                          <a:ext cx="5342255" cy="317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10.4pt;margin-top:0.15pt;height:0.25pt;width:420.65pt;z-index:251663360;mso-width-relative:page;mso-height-relative:page;" filled="f" stroked="t" coordsize="21600,21600" o:gfxdata="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kyHn0wAAAAQBAAAPAAAAAAAAAAEAIAAAACIAAABkcnMvZG93bnJl&#10;di54bWxQSwECFAAUAAAACACHTuJABIIQZAICAAD/AwAADgAAAAAAAAABACAAAAAiAQAAZHJzL2Uy&#10;b0RvYy54bWxQSwUGAAAAAAYABgBZAQAAlgUAAAAA&#10;">
                <v:fill on="f" focussize="0,0"/>
                <v:stroke color="#000000" joinstyle="round"/>
                <v:imagedata o:title=""/>
                <o:lock v:ext="edit" aspectratio="f"/>
              </v:line>
            </w:pict>
          </mc:Fallback>
        </mc:AlternateContent>
      </w:r>
      <w:r>
        <w:rPr>
          <w:rFonts w:hint="eastAsia" w:ascii="仿宋_GB2312" w:hAnsi="仿宋_GB2312" w:eastAsia="仿宋_GB2312" w:cs="仿宋_GB2312"/>
          <w:color w:val="000000"/>
          <w:sz w:val="28"/>
          <w:szCs w:val="28"/>
        </w:rPr>
        <w:t>抄 送：县安委会主任、副主任。</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402" w:firstLineChars="150"/>
        <w:jc w:val="both"/>
        <w:textAlignment w:val="auto"/>
        <w:outlineLvl w:val="9"/>
        <w:rPr>
          <w:rFonts w:hint="eastAsia"/>
          <w:color w:val="000000"/>
          <w:lang w:val="en-US" w:eastAsia="zh-CN"/>
        </w:rPr>
      </w:pPr>
      <w:r>
        <w:rPr>
          <w:rFonts w:hint="eastAsia" w:ascii="仿宋" w:hAnsi="仿宋" w:eastAsia="仿宋" w:cs="仿宋"/>
          <w:color w:val="000000"/>
          <w:spacing w:val="-6"/>
          <w:sz w:val="28"/>
          <w:szCs w:val="28"/>
        </w:rPr>
        <mc:AlternateContent>
          <mc:Choice Requires="wps">
            <w:drawing>
              <wp:anchor distT="0" distB="0" distL="114300" distR="114300" simplePos="0" relativeHeight="251662336" behindDoc="0" locked="0" layoutInCell="1" allowOverlap="1">
                <wp:simplePos x="0" y="0"/>
                <wp:positionH relativeFrom="column">
                  <wp:posOffset>125095</wp:posOffset>
                </wp:positionH>
                <wp:positionV relativeFrom="paragraph">
                  <wp:posOffset>20320</wp:posOffset>
                </wp:positionV>
                <wp:extent cx="5354320" cy="635"/>
                <wp:effectExtent l="0" t="0" r="0" b="0"/>
                <wp:wrapNone/>
                <wp:docPr id="7" name="直接连接符 7"/>
                <wp:cNvGraphicFramePr/>
                <a:graphic xmlns:a="http://schemas.openxmlformats.org/drawingml/2006/main">
                  <a:graphicData uri="http://schemas.microsoft.com/office/word/2010/wordprocessingShape">
                    <wps:wsp>
                      <wps:cNvCnPr/>
                      <wps:spPr>
                        <a:xfrm>
                          <a:off x="0" y="0"/>
                          <a:ext cx="535432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85pt;margin-top:1.6pt;height:0.05pt;width:421.6pt;z-index:251662336;mso-width-relative:page;mso-height-relative:page;" filled="f" stroked="t" coordsize="21600,21600" o:gfxdata="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UxkjtMAAAAGAQAADwAAAAAAAAABACAAAAAiAAAAZHJzL2Rvd25yZXYueG1sUEsB&#10;AhQAFAAAAAgAh07iQML5uED6AQAA9AMAAA4AAAAAAAAAAQAgAAAAIgEAAGRycy9lMm9Eb2MueG1s&#10;UEsFBgAAAAAGAAYAWQEAAI4FAAAAAA==&#10;">
                <v:fill on="f" focussize="0,0"/>
                <v:stroke color="#000000" joinstyle="round"/>
                <v:imagedata o:title=""/>
                <o:lock v:ext="edit" aspectratio="f"/>
              </v:line>
            </w:pict>
          </mc:Fallback>
        </mc:AlternateContent>
      </w:r>
      <w:r>
        <w:rPr>
          <w:rFonts w:hint="eastAsia" w:ascii="仿宋" w:hAnsi="仿宋" w:eastAsia="仿宋" w:cs="仿宋"/>
          <w:color w:val="000000"/>
          <w:spacing w:val="-6"/>
          <w:sz w:val="28"/>
          <w:szCs w:val="28"/>
        </w:rPr>
        <w:t xml:space="preserve">石城县安全生产委员会办公室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pacing w:val="-6"/>
          <w:sz w:val="28"/>
          <w:szCs w:val="28"/>
        </w:rPr>
        <w:t>20</w:t>
      </w:r>
      <w:r>
        <w:rPr>
          <w:rFonts w:hint="eastAsia" w:ascii="仿宋" w:hAnsi="仿宋" w:eastAsia="仿宋" w:cs="仿宋"/>
          <w:color w:val="000000"/>
          <w:spacing w:val="-6"/>
          <w:sz w:val="28"/>
          <w:szCs w:val="28"/>
          <w:lang w:val="en-US" w:eastAsia="zh-CN"/>
        </w:rPr>
        <w:t>24</w:t>
      </w:r>
      <w:r>
        <w:rPr>
          <w:rFonts w:hint="eastAsia" w:ascii="仿宋" w:hAnsi="仿宋" w:eastAsia="仿宋" w:cs="仿宋"/>
          <w:color w:val="000000"/>
          <w:spacing w:val="-6"/>
          <w:sz w:val="28"/>
          <w:szCs w:val="28"/>
        </w:rPr>
        <w:t>年</w:t>
      </w:r>
      <w:r>
        <w:rPr>
          <w:rFonts w:hint="eastAsia" w:ascii="仿宋" w:hAnsi="仿宋" w:eastAsia="仿宋" w:cs="仿宋"/>
          <w:color w:val="000000"/>
          <w:spacing w:val="-6"/>
          <w:sz w:val="28"/>
          <w:szCs w:val="28"/>
          <w:lang w:val="en-US" w:eastAsia="zh-CN"/>
        </w:rPr>
        <w:t>4</w:t>
      </w:r>
      <w:r>
        <w:rPr>
          <w:rFonts w:hint="eastAsia" w:ascii="仿宋" w:hAnsi="仿宋" w:eastAsia="仿宋" w:cs="仿宋"/>
          <w:color w:val="000000"/>
          <w:spacing w:val="-6"/>
          <w:sz w:val="28"/>
          <w:szCs w:val="28"/>
        </w:rPr>
        <w:t>月</w:t>
      </w:r>
      <w:r>
        <w:rPr>
          <w:rFonts w:hint="eastAsia" w:ascii="仿宋" w:hAnsi="仿宋" w:eastAsia="仿宋" w:cs="仿宋"/>
          <w:color w:val="000000"/>
          <w:spacing w:val="-6"/>
          <w:sz w:val="28"/>
          <w:szCs w:val="28"/>
          <w:lang w:val="en-US" w:eastAsia="zh-CN"/>
        </w:rPr>
        <w:t>29</w:t>
      </w:r>
      <w:r>
        <w:rPr>
          <w:rFonts w:hint="eastAsia" w:ascii="仿宋" w:hAnsi="仿宋" w:eastAsia="仿宋" w:cs="仿宋"/>
          <w:color w:val="000000"/>
          <w:spacing w:val="-6"/>
          <w:sz w:val="28"/>
          <w:szCs w:val="28"/>
        </w:rPr>
        <w:t>日印发</w:t>
      </w:r>
    </w:p>
    <w:p>
      <w:pPr>
        <w:keepNext w:val="0"/>
        <w:keepLines w:val="0"/>
        <w:pageBreakBefore w:val="0"/>
        <w:widowControl w:val="0"/>
        <w:kinsoku/>
        <w:wordWrap/>
        <w:overflowPunct/>
        <w:topLinePunct w:val="0"/>
        <w:autoSpaceDE/>
        <w:autoSpaceDN/>
        <w:bidi w:val="0"/>
        <w:adjustRightInd/>
        <w:snapToGrid/>
        <w:spacing w:line="40" w:lineRule="exact"/>
        <w:textAlignment w:val="auto"/>
        <w:rPr>
          <w:rFonts w:hint="eastAsia"/>
          <w:color w:val="000000"/>
          <w:lang w:val="en-US" w:eastAsia="zh-CN"/>
        </w:rPr>
      </w:pPr>
      <w:r>
        <w:rPr>
          <w:rFonts w:hint="eastAsia" w:ascii="仿宋" w:hAnsi="仿宋" w:eastAsia="仿宋" w:cs="仿宋"/>
          <w:color w:val="000000"/>
          <w:spacing w:val="-6"/>
          <w:sz w:val="28"/>
          <w:szCs w:val="28"/>
        </w:rPr>
        <mc:AlternateContent>
          <mc:Choice Requires="wps">
            <w:drawing>
              <wp:anchor distT="0" distB="0" distL="114300" distR="114300" simplePos="0" relativeHeight="251660288" behindDoc="0" locked="0" layoutInCell="1" allowOverlap="1">
                <wp:simplePos x="0" y="0"/>
                <wp:positionH relativeFrom="column">
                  <wp:posOffset>123190</wp:posOffset>
                </wp:positionH>
                <wp:positionV relativeFrom="paragraph">
                  <wp:posOffset>25400</wp:posOffset>
                </wp:positionV>
                <wp:extent cx="5361940" cy="6985"/>
                <wp:effectExtent l="0" t="0" r="0" b="0"/>
                <wp:wrapNone/>
                <wp:docPr id="6" name="直接连接符 6"/>
                <wp:cNvGraphicFramePr/>
                <a:graphic xmlns:a="http://schemas.openxmlformats.org/drawingml/2006/main">
                  <a:graphicData uri="http://schemas.microsoft.com/office/word/2010/wordprocessingShape">
                    <wps:wsp>
                      <wps:cNvCnPr/>
                      <wps:spPr>
                        <a:xfrm>
                          <a:off x="0" y="0"/>
                          <a:ext cx="5361940" cy="698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7pt;margin-top:2pt;height:0.55pt;width:422.2pt;z-index:251660288;mso-width-relative:page;mso-height-relative:page;" filled="f" stroked="t" coordsize="21600,21600" o:gfxdata="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A66TX1AAAAAYBAAAPAAAAAAAAAAEAIAAAACIAAABkcnMvZG93bnJldi54bWxQ&#10;SwECFAAUAAAACACHTuJAVPbP5vsBAAD1AwAADgAAAAAAAAABACAAAAAjAQAAZHJzL2Uyb0RvYy54&#10;bWxQSwUGAAAAAAYABgBZAQAAkAUAAAAA&#10;">
                <v:fill on="f" focussize="0,0"/>
                <v:stroke color="#000000" joinstyle="round"/>
                <v:imagedata o:title=""/>
                <o:lock v:ext="edit" aspectratio="f"/>
              </v:line>
            </w:pict>
          </mc:Fallback>
        </mc:AlternateContent>
      </w:r>
    </w:p>
    <w:sectPr>
      <w:pgSz w:w="11906" w:h="16838"/>
      <w:pgMar w:top="1644" w:right="1531" w:bottom="1644" w:left="1587" w:header="851" w:footer="1134" w:gutter="0"/>
      <w:pgBorders>
        <w:top w:val="none" w:sz="0" w:space="0"/>
        <w:left w:val="none" w:sz="0" w:space="0"/>
        <w:bottom w:val="none" w:sz="0" w:space="0"/>
        <w:right w:val="none" w:sz="0" w:space="0"/>
      </w:pgBorders>
      <w:pgNumType w:fmt="decimal"/>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_GBK">
    <w:altName w:val="Segoe Print"/>
    <w:panose1 w:val="00000000000000000000"/>
    <w:charset w:val="00"/>
    <w:family w:val="auto"/>
    <w:pitch w:val="default"/>
    <w:sig w:usb0="00000000" w:usb1="00000000" w:usb2="00000000" w:usb3="00000000" w:csb0="00000001" w:csb1="00000000"/>
  </w:font>
  <w:font w:name="CESI仿宋-GB2312">
    <w:altName w:val="仿宋"/>
    <w:panose1 w:val="02000500000000000000"/>
    <w:charset w:val="86"/>
    <w:family w:val="auto"/>
    <w:pitch w:val="default"/>
    <w:sig w:usb0="00000000" w:usb1="00000000" w:usb2="00000010" w:usb3="00000000" w:csb0="0004000F" w:csb1="00000000"/>
  </w:font>
  <w:font w:name="浠垮畫_GB2312">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6"/>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posOffset>4689475</wp:posOffset>
              </wp:positionH>
              <wp:positionV relativeFrom="paragraph">
                <wp:posOffset>-52070</wp:posOffset>
              </wp:positionV>
              <wp:extent cx="1828800" cy="1828800"/>
              <wp:effectExtent l="0" t="0" r="0" b="0"/>
              <wp:wrapNone/>
              <wp:docPr id="4"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jc w:val="both"/>
                          </w:pPr>
                        </w:p>
                      </w:txbxContent>
                    </wps:txbx>
                    <wps:bodyPr wrap="none" lIns="0" tIns="0" rIns="0" bIns="0" upright="0">
                      <a:spAutoFit/>
                    </wps:bodyPr>
                  </wps:wsp>
                </a:graphicData>
              </a:graphic>
            </wp:anchor>
          </w:drawing>
        </mc:Choice>
        <mc:Fallback>
          <w:pict>
            <v:shape id="文本框 45" o:spid="_x0000_s1026" o:spt="202" type="#_x0000_t202" style="position:absolute;left:0pt;margin-left:369.25pt;margin-top:-4.1pt;height:144pt;width:144pt;mso-position-horizontal-relative:margin;mso-wrap-style:none;z-index:251659264;mso-width-relative:page;mso-height-relative:page;" filled="f" stroked="f" coordsize="21600,21600" o:gfxdata="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BDf97nXAAAACwEAAA8AAAAAAAAAAQAgAAAAIgAAAGRycy9k&#10;b3ducmV2LnhtbFBLAQIUABQAAAAIAIdO4kC+GWaJygEAAJoDAAAOAAAAAAAAAAEAIAAAACYBAABk&#10;cnMvZTJvRG9jLnhtbFBLBQYAAAAABgAGAFkBAABiBQAAAAA=&#10;">
              <v:fill on="f" focussize="0,0"/>
              <v:stroke on="f"/>
              <v:imagedata o:title=""/>
              <o:lock v:ext="edit" aspectratio="f"/>
              <v:textbox inset="0mm,0mm,0mm,0mm" style="mso-fit-shape-to-text:t;">
                <w:txbxContent>
                  <w:p>
                    <w:pPr>
                      <w:pStyle w:val="16"/>
                      <w:jc w:val="both"/>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9"/>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1ZDc2MzVjOTc4YTRhNDJlMDI4OTk0MzJkZmI3MGYifQ=="/>
  </w:docVars>
  <w:rsids>
    <w:rsidRoot w:val="00313389"/>
    <w:rsid w:val="0000695C"/>
    <w:rsid w:val="000F5962"/>
    <w:rsid w:val="00196472"/>
    <w:rsid w:val="00285085"/>
    <w:rsid w:val="002F4662"/>
    <w:rsid w:val="00313389"/>
    <w:rsid w:val="003176A9"/>
    <w:rsid w:val="003D51F8"/>
    <w:rsid w:val="00463B0C"/>
    <w:rsid w:val="00464762"/>
    <w:rsid w:val="004D4FAB"/>
    <w:rsid w:val="00526C6D"/>
    <w:rsid w:val="00543DC9"/>
    <w:rsid w:val="005A41D0"/>
    <w:rsid w:val="005C2543"/>
    <w:rsid w:val="00713C1B"/>
    <w:rsid w:val="007806E8"/>
    <w:rsid w:val="00856B44"/>
    <w:rsid w:val="00874EF9"/>
    <w:rsid w:val="009D19A0"/>
    <w:rsid w:val="00AD05B3"/>
    <w:rsid w:val="00B42EED"/>
    <w:rsid w:val="00B60D40"/>
    <w:rsid w:val="00B61C66"/>
    <w:rsid w:val="00BF2932"/>
    <w:rsid w:val="00C121DD"/>
    <w:rsid w:val="00CB1E94"/>
    <w:rsid w:val="00D509BB"/>
    <w:rsid w:val="00D80402"/>
    <w:rsid w:val="00DA6962"/>
    <w:rsid w:val="00F35D8D"/>
    <w:rsid w:val="00F537D5"/>
    <w:rsid w:val="00FA7926"/>
    <w:rsid w:val="01011432"/>
    <w:rsid w:val="01086C64"/>
    <w:rsid w:val="010C6533"/>
    <w:rsid w:val="0113730C"/>
    <w:rsid w:val="014134C2"/>
    <w:rsid w:val="014F1DD4"/>
    <w:rsid w:val="01843C8B"/>
    <w:rsid w:val="01A7022B"/>
    <w:rsid w:val="01A95D47"/>
    <w:rsid w:val="01AB30FE"/>
    <w:rsid w:val="01FF64EE"/>
    <w:rsid w:val="020733E9"/>
    <w:rsid w:val="02076D53"/>
    <w:rsid w:val="02205910"/>
    <w:rsid w:val="024C2B0C"/>
    <w:rsid w:val="02501EFA"/>
    <w:rsid w:val="025F5973"/>
    <w:rsid w:val="02620CAA"/>
    <w:rsid w:val="026714BC"/>
    <w:rsid w:val="026C4B56"/>
    <w:rsid w:val="02897931"/>
    <w:rsid w:val="02936179"/>
    <w:rsid w:val="02C72EFB"/>
    <w:rsid w:val="02D31564"/>
    <w:rsid w:val="02DD2B0A"/>
    <w:rsid w:val="02E07A66"/>
    <w:rsid w:val="030471BF"/>
    <w:rsid w:val="030716F4"/>
    <w:rsid w:val="030F0A98"/>
    <w:rsid w:val="037216E9"/>
    <w:rsid w:val="03763DDF"/>
    <w:rsid w:val="037D69A2"/>
    <w:rsid w:val="03A32C74"/>
    <w:rsid w:val="03A569EC"/>
    <w:rsid w:val="03F12C90"/>
    <w:rsid w:val="03F400BB"/>
    <w:rsid w:val="042D0697"/>
    <w:rsid w:val="044B7E67"/>
    <w:rsid w:val="045F4D2C"/>
    <w:rsid w:val="046C1508"/>
    <w:rsid w:val="04737FDC"/>
    <w:rsid w:val="04820F95"/>
    <w:rsid w:val="049D31C6"/>
    <w:rsid w:val="04C80F22"/>
    <w:rsid w:val="04CE74AB"/>
    <w:rsid w:val="04CF038A"/>
    <w:rsid w:val="04DE192F"/>
    <w:rsid w:val="05051DD2"/>
    <w:rsid w:val="0539563E"/>
    <w:rsid w:val="05756F41"/>
    <w:rsid w:val="05A23676"/>
    <w:rsid w:val="05BF1440"/>
    <w:rsid w:val="05E35C87"/>
    <w:rsid w:val="06095AE8"/>
    <w:rsid w:val="06241AA5"/>
    <w:rsid w:val="0633208B"/>
    <w:rsid w:val="06444C61"/>
    <w:rsid w:val="064E4868"/>
    <w:rsid w:val="0659146A"/>
    <w:rsid w:val="06691BE1"/>
    <w:rsid w:val="06706650"/>
    <w:rsid w:val="068253DA"/>
    <w:rsid w:val="06850400"/>
    <w:rsid w:val="068612C4"/>
    <w:rsid w:val="0687297D"/>
    <w:rsid w:val="068E1462"/>
    <w:rsid w:val="06905732"/>
    <w:rsid w:val="06E246AD"/>
    <w:rsid w:val="0703192C"/>
    <w:rsid w:val="073979DD"/>
    <w:rsid w:val="073C0662"/>
    <w:rsid w:val="07596ACA"/>
    <w:rsid w:val="076D6079"/>
    <w:rsid w:val="07C27F35"/>
    <w:rsid w:val="07D653C6"/>
    <w:rsid w:val="07FA095F"/>
    <w:rsid w:val="0802341D"/>
    <w:rsid w:val="0823248D"/>
    <w:rsid w:val="082425D6"/>
    <w:rsid w:val="0826312B"/>
    <w:rsid w:val="083672C2"/>
    <w:rsid w:val="08371974"/>
    <w:rsid w:val="083C26F5"/>
    <w:rsid w:val="083E7892"/>
    <w:rsid w:val="08442781"/>
    <w:rsid w:val="084E2063"/>
    <w:rsid w:val="087E1F58"/>
    <w:rsid w:val="088F1646"/>
    <w:rsid w:val="089344EC"/>
    <w:rsid w:val="08A64B50"/>
    <w:rsid w:val="08BD3843"/>
    <w:rsid w:val="08BD60A0"/>
    <w:rsid w:val="08D029E3"/>
    <w:rsid w:val="0909788D"/>
    <w:rsid w:val="090B1380"/>
    <w:rsid w:val="0916503F"/>
    <w:rsid w:val="095C61BE"/>
    <w:rsid w:val="096D3E89"/>
    <w:rsid w:val="09740C0C"/>
    <w:rsid w:val="09A17C56"/>
    <w:rsid w:val="09A573B9"/>
    <w:rsid w:val="09C8299C"/>
    <w:rsid w:val="09E20574"/>
    <w:rsid w:val="09E84A01"/>
    <w:rsid w:val="09F35DDC"/>
    <w:rsid w:val="09F633C5"/>
    <w:rsid w:val="0A1B0D02"/>
    <w:rsid w:val="0A1E0544"/>
    <w:rsid w:val="0A213F45"/>
    <w:rsid w:val="0A482F88"/>
    <w:rsid w:val="0A806AC4"/>
    <w:rsid w:val="0A821B77"/>
    <w:rsid w:val="0A824ABA"/>
    <w:rsid w:val="0A8960B1"/>
    <w:rsid w:val="0AB62CF5"/>
    <w:rsid w:val="0ACB66EF"/>
    <w:rsid w:val="0AE05055"/>
    <w:rsid w:val="0AE664BB"/>
    <w:rsid w:val="0B0A0E05"/>
    <w:rsid w:val="0B1A416E"/>
    <w:rsid w:val="0B49165B"/>
    <w:rsid w:val="0B6824AF"/>
    <w:rsid w:val="0B6D3CF3"/>
    <w:rsid w:val="0B9050D9"/>
    <w:rsid w:val="0BB21D64"/>
    <w:rsid w:val="0BB62E04"/>
    <w:rsid w:val="0BB85EC5"/>
    <w:rsid w:val="0BCB4907"/>
    <w:rsid w:val="0BE8061C"/>
    <w:rsid w:val="0BEA2EC5"/>
    <w:rsid w:val="0BF173BB"/>
    <w:rsid w:val="0BFE2CC4"/>
    <w:rsid w:val="0C097565"/>
    <w:rsid w:val="0C097A4D"/>
    <w:rsid w:val="0C0B7B8F"/>
    <w:rsid w:val="0C0F6A68"/>
    <w:rsid w:val="0C120997"/>
    <w:rsid w:val="0C3B2D38"/>
    <w:rsid w:val="0C4437BD"/>
    <w:rsid w:val="0C4E71D3"/>
    <w:rsid w:val="0C6433BC"/>
    <w:rsid w:val="0C7D20F4"/>
    <w:rsid w:val="0C8A49D1"/>
    <w:rsid w:val="0C92678A"/>
    <w:rsid w:val="0C952712"/>
    <w:rsid w:val="0CA03DFD"/>
    <w:rsid w:val="0CB47CA0"/>
    <w:rsid w:val="0CC67770"/>
    <w:rsid w:val="0CCF1B95"/>
    <w:rsid w:val="0CDF4ABC"/>
    <w:rsid w:val="0CF80CDE"/>
    <w:rsid w:val="0D20063A"/>
    <w:rsid w:val="0D224876"/>
    <w:rsid w:val="0D2502C4"/>
    <w:rsid w:val="0D3D26F7"/>
    <w:rsid w:val="0D435F3C"/>
    <w:rsid w:val="0D5173DC"/>
    <w:rsid w:val="0D5D147B"/>
    <w:rsid w:val="0D7D1085"/>
    <w:rsid w:val="0D821AFA"/>
    <w:rsid w:val="0D895AED"/>
    <w:rsid w:val="0DD67771"/>
    <w:rsid w:val="0DDC5701"/>
    <w:rsid w:val="0DE72E86"/>
    <w:rsid w:val="0E283955"/>
    <w:rsid w:val="0E2C2791"/>
    <w:rsid w:val="0E312B04"/>
    <w:rsid w:val="0E323CBB"/>
    <w:rsid w:val="0E337D3D"/>
    <w:rsid w:val="0E3E6612"/>
    <w:rsid w:val="0E4548D8"/>
    <w:rsid w:val="0E45586A"/>
    <w:rsid w:val="0E4B63E2"/>
    <w:rsid w:val="0E833898"/>
    <w:rsid w:val="0E8651E4"/>
    <w:rsid w:val="0E8C2C83"/>
    <w:rsid w:val="0EEC69B2"/>
    <w:rsid w:val="0EFB28C2"/>
    <w:rsid w:val="0F0C24E4"/>
    <w:rsid w:val="0F1354D1"/>
    <w:rsid w:val="0F413200"/>
    <w:rsid w:val="0F492599"/>
    <w:rsid w:val="0F4E1AA2"/>
    <w:rsid w:val="0F8971C2"/>
    <w:rsid w:val="0F8B05ED"/>
    <w:rsid w:val="0F8B5B13"/>
    <w:rsid w:val="0F9718DF"/>
    <w:rsid w:val="0FA65020"/>
    <w:rsid w:val="0FAE692A"/>
    <w:rsid w:val="0FEA282E"/>
    <w:rsid w:val="0FEB1C2B"/>
    <w:rsid w:val="10186C69"/>
    <w:rsid w:val="10473875"/>
    <w:rsid w:val="105B0B5E"/>
    <w:rsid w:val="105C592A"/>
    <w:rsid w:val="105E693D"/>
    <w:rsid w:val="105F1FF3"/>
    <w:rsid w:val="106B3DC8"/>
    <w:rsid w:val="10731201"/>
    <w:rsid w:val="107B66A5"/>
    <w:rsid w:val="10836C5E"/>
    <w:rsid w:val="108D6991"/>
    <w:rsid w:val="109F5E90"/>
    <w:rsid w:val="10B164BC"/>
    <w:rsid w:val="10E07445"/>
    <w:rsid w:val="10EC4C74"/>
    <w:rsid w:val="10F104E6"/>
    <w:rsid w:val="110F2C8F"/>
    <w:rsid w:val="1112088D"/>
    <w:rsid w:val="1115430B"/>
    <w:rsid w:val="11192FE0"/>
    <w:rsid w:val="11284A03"/>
    <w:rsid w:val="114044B1"/>
    <w:rsid w:val="11447E2E"/>
    <w:rsid w:val="11472E91"/>
    <w:rsid w:val="114E14F4"/>
    <w:rsid w:val="11585B9D"/>
    <w:rsid w:val="11674F8B"/>
    <w:rsid w:val="11720CAB"/>
    <w:rsid w:val="11993DDC"/>
    <w:rsid w:val="11DF7CDF"/>
    <w:rsid w:val="11E8223C"/>
    <w:rsid w:val="121A171B"/>
    <w:rsid w:val="1220505A"/>
    <w:rsid w:val="123147E5"/>
    <w:rsid w:val="12352091"/>
    <w:rsid w:val="123D6981"/>
    <w:rsid w:val="12743B10"/>
    <w:rsid w:val="127952CC"/>
    <w:rsid w:val="12BD4AC9"/>
    <w:rsid w:val="12CD427D"/>
    <w:rsid w:val="12D40DAE"/>
    <w:rsid w:val="12EF1A32"/>
    <w:rsid w:val="12F01186"/>
    <w:rsid w:val="12FD383F"/>
    <w:rsid w:val="13271305"/>
    <w:rsid w:val="13353406"/>
    <w:rsid w:val="134B318E"/>
    <w:rsid w:val="13686E18"/>
    <w:rsid w:val="13715694"/>
    <w:rsid w:val="13740449"/>
    <w:rsid w:val="137934C8"/>
    <w:rsid w:val="13914897"/>
    <w:rsid w:val="13B54B8E"/>
    <w:rsid w:val="13BC3239"/>
    <w:rsid w:val="13BD4A79"/>
    <w:rsid w:val="13D05D3C"/>
    <w:rsid w:val="13D65FBA"/>
    <w:rsid w:val="141C00CA"/>
    <w:rsid w:val="142409B9"/>
    <w:rsid w:val="143A222D"/>
    <w:rsid w:val="1448039B"/>
    <w:rsid w:val="144F18E9"/>
    <w:rsid w:val="14555758"/>
    <w:rsid w:val="147B06BE"/>
    <w:rsid w:val="14814B3F"/>
    <w:rsid w:val="14BA5B06"/>
    <w:rsid w:val="14E411F2"/>
    <w:rsid w:val="14F8060A"/>
    <w:rsid w:val="15070AB1"/>
    <w:rsid w:val="1546345F"/>
    <w:rsid w:val="155572A8"/>
    <w:rsid w:val="156C2EC6"/>
    <w:rsid w:val="157C1125"/>
    <w:rsid w:val="159476F1"/>
    <w:rsid w:val="15960BA9"/>
    <w:rsid w:val="159A0B6C"/>
    <w:rsid w:val="15CB24C1"/>
    <w:rsid w:val="15CE592F"/>
    <w:rsid w:val="15DE0336"/>
    <w:rsid w:val="16002D33"/>
    <w:rsid w:val="16271294"/>
    <w:rsid w:val="162A3762"/>
    <w:rsid w:val="163E2E9F"/>
    <w:rsid w:val="16420218"/>
    <w:rsid w:val="164F0434"/>
    <w:rsid w:val="167C5DEC"/>
    <w:rsid w:val="16A8697B"/>
    <w:rsid w:val="16B041C2"/>
    <w:rsid w:val="16C3388E"/>
    <w:rsid w:val="16CF122B"/>
    <w:rsid w:val="16D1411D"/>
    <w:rsid w:val="16D95D9B"/>
    <w:rsid w:val="16DF631D"/>
    <w:rsid w:val="171209D4"/>
    <w:rsid w:val="171F1749"/>
    <w:rsid w:val="17321EED"/>
    <w:rsid w:val="173C3B2C"/>
    <w:rsid w:val="179062F5"/>
    <w:rsid w:val="17A07D50"/>
    <w:rsid w:val="17B83FBE"/>
    <w:rsid w:val="17CF220C"/>
    <w:rsid w:val="17DE3B3C"/>
    <w:rsid w:val="17E46BCC"/>
    <w:rsid w:val="17F620ED"/>
    <w:rsid w:val="18103002"/>
    <w:rsid w:val="18162422"/>
    <w:rsid w:val="1820237F"/>
    <w:rsid w:val="18390A08"/>
    <w:rsid w:val="183C7000"/>
    <w:rsid w:val="184048A9"/>
    <w:rsid w:val="18450A85"/>
    <w:rsid w:val="185F225A"/>
    <w:rsid w:val="187D788B"/>
    <w:rsid w:val="18913141"/>
    <w:rsid w:val="18925D8B"/>
    <w:rsid w:val="18966EE2"/>
    <w:rsid w:val="189F6577"/>
    <w:rsid w:val="18E05979"/>
    <w:rsid w:val="18FF04F5"/>
    <w:rsid w:val="191313F4"/>
    <w:rsid w:val="192D5CDF"/>
    <w:rsid w:val="19504CB1"/>
    <w:rsid w:val="19794BBA"/>
    <w:rsid w:val="197D5A28"/>
    <w:rsid w:val="19A37957"/>
    <w:rsid w:val="19A41765"/>
    <w:rsid w:val="19BB72F8"/>
    <w:rsid w:val="19BE1343"/>
    <w:rsid w:val="19DF3497"/>
    <w:rsid w:val="19ED6BAC"/>
    <w:rsid w:val="19F17C52"/>
    <w:rsid w:val="19FD5AD5"/>
    <w:rsid w:val="1A0E7D1B"/>
    <w:rsid w:val="1A631384"/>
    <w:rsid w:val="1A6C6E93"/>
    <w:rsid w:val="1A7E02C1"/>
    <w:rsid w:val="1A7E776E"/>
    <w:rsid w:val="1A89590F"/>
    <w:rsid w:val="1AA86D34"/>
    <w:rsid w:val="1AB503F6"/>
    <w:rsid w:val="1AB84392"/>
    <w:rsid w:val="1ABB36CC"/>
    <w:rsid w:val="1AEF51B7"/>
    <w:rsid w:val="1AF92BB1"/>
    <w:rsid w:val="1AFA1BD0"/>
    <w:rsid w:val="1B07746B"/>
    <w:rsid w:val="1B130C58"/>
    <w:rsid w:val="1B2F3E14"/>
    <w:rsid w:val="1B646E3E"/>
    <w:rsid w:val="1B834357"/>
    <w:rsid w:val="1B9F38FC"/>
    <w:rsid w:val="1BB95C55"/>
    <w:rsid w:val="1BBA32E0"/>
    <w:rsid w:val="1BEA055C"/>
    <w:rsid w:val="1BF510DB"/>
    <w:rsid w:val="1C0C331C"/>
    <w:rsid w:val="1C273FEB"/>
    <w:rsid w:val="1C2D61A8"/>
    <w:rsid w:val="1C324BC6"/>
    <w:rsid w:val="1C442E6B"/>
    <w:rsid w:val="1C5A43C0"/>
    <w:rsid w:val="1C6A277A"/>
    <w:rsid w:val="1CAE37EB"/>
    <w:rsid w:val="1CD714E1"/>
    <w:rsid w:val="1CDD5A37"/>
    <w:rsid w:val="1D08559B"/>
    <w:rsid w:val="1D0A0802"/>
    <w:rsid w:val="1D0B4E33"/>
    <w:rsid w:val="1D1A3B4F"/>
    <w:rsid w:val="1D2B7814"/>
    <w:rsid w:val="1D2F60E7"/>
    <w:rsid w:val="1D4E24D5"/>
    <w:rsid w:val="1D4E3803"/>
    <w:rsid w:val="1D6726F5"/>
    <w:rsid w:val="1D8A1D9D"/>
    <w:rsid w:val="1D977AB1"/>
    <w:rsid w:val="1D9F3E0B"/>
    <w:rsid w:val="1E0F4D36"/>
    <w:rsid w:val="1E0F4EC8"/>
    <w:rsid w:val="1E1932C0"/>
    <w:rsid w:val="1E55111C"/>
    <w:rsid w:val="1E911429"/>
    <w:rsid w:val="1E9673A4"/>
    <w:rsid w:val="1E9B4E4B"/>
    <w:rsid w:val="1EAE3922"/>
    <w:rsid w:val="1ED3401A"/>
    <w:rsid w:val="1ED87DBD"/>
    <w:rsid w:val="1EDB298F"/>
    <w:rsid w:val="1EF179F3"/>
    <w:rsid w:val="1EF41432"/>
    <w:rsid w:val="1EFA040A"/>
    <w:rsid w:val="1F335FD6"/>
    <w:rsid w:val="1F3F7F97"/>
    <w:rsid w:val="1F4508F7"/>
    <w:rsid w:val="1F5A77D7"/>
    <w:rsid w:val="1F5D5817"/>
    <w:rsid w:val="1F6616C0"/>
    <w:rsid w:val="1F684D11"/>
    <w:rsid w:val="1F7C4C17"/>
    <w:rsid w:val="1F9622F6"/>
    <w:rsid w:val="1F9B5FD7"/>
    <w:rsid w:val="1FB54E04"/>
    <w:rsid w:val="20042287"/>
    <w:rsid w:val="20503E96"/>
    <w:rsid w:val="20532C84"/>
    <w:rsid w:val="20682CA7"/>
    <w:rsid w:val="20C631F8"/>
    <w:rsid w:val="20CA0C69"/>
    <w:rsid w:val="20E86DA6"/>
    <w:rsid w:val="20F20C00"/>
    <w:rsid w:val="20FA72A0"/>
    <w:rsid w:val="211D4129"/>
    <w:rsid w:val="2122392E"/>
    <w:rsid w:val="21226C4D"/>
    <w:rsid w:val="21243075"/>
    <w:rsid w:val="21436EFA"/>
    <w:rsid w:val="21645399"/>
    <w:rsid w:val="2174201F"/>
    <w:rsid w:val="21A23B3C"/>
    <w:rsid w:val="21B442AD"/>
    <w:rsid w:val="21EB5EEB"/>
    <w:rsid w:val="21EC2B73"/>
    <w:rsid w:val="220725FF"/>
    <w:rsid w:val="222D04B6"/>
    <w:rsid w:val="22474094"/>
    <w:rsid w:val="22667715"/>
    <w:rsid w:val="22813348"/>
    <w:rsid w:val="229A06FA"/>
    <w:rsid w:val="22AC3EE1"/>
    <w:rsid w:val="22D4417F"/>
    <w:rsid w:val="22DC6AB0"/>
    <w:rsid w:val="23170BFF"/>
    <w:rsid w:val="23224386"/>
    <w:rsid w:val="232575FE"/>
    <w:rsid w:val="238B5CB1"/>
    <w:rsid w:val="23D10988"/>
    <w:rsid w:val="23ED3B3C"/>
    <w:rsid w:val="23FB57EE"/>
    <w:rsid w:val="24070744"/>
    <w:rsid w:val="243D7084"/>
    <w:rsid w:val="244733B2"/>
    <w:rsid w:val="249B5576"/>
    <w:rsid w:val="24AE10CD"/>
    <w:rsid w:val="24BB1774"/>
    <w:rsid w:val="24C3297A"/>
    <w:rsid w:val="24E92FEC"/>
    <w:rsid w:val="24EA714B"/>
    <w:rsid w:val="24F1553A"/>
    <w:rsid w:val="25032F0D"/>
    <w:rsid w:val="251470D6"/>
    <w:rsid w:val="25340BB9"/>
    <w:rsid w:val="254D2E44"/>
    <w:rsid w:val="255C59CE"/>
    <w:rsid w:val="257C79C7"/>
    <w:rsid w:val="258F1F4F"/>
    <w:rsid w:val="259768F2"/>
    <w:rsid w:val="25A862EF"/>
    <w:rsid w:val="25B24F18"/>
    <w:rsid w:val="25CF462F"/>
    <w:rsid w:val="25D5214B"/>
    <w:rsid w:val="25D54AB7"/>
    <w:rsid w:val="25D55157"/>
    <w:rsid w:val="25ED36D2"/>
    <w:rsid w:val="261E5731"/>
    <w:rsid w:val="26716BFB"/>
    <w:rsid w:val="26766C3B"/>
    <w:rsid w:val="267747DD"/>
    <w:rsid w:val="2690793E"/>
    <w:rsid w:val="269C7D5A"/>
    <w:rsid w:val="26D318AF"/>
    <w:rsid w:val="26DB74CD"/>
    <w:rsid w:val="26DC7206"/>
    <w:rsid w:val="27204EEF"/>
    <w:rsid w:val="27307DC2"/>
    <w:rsid w:val="27526603"/>
    <w:rsid w:val="27550CD5"/>
    <w:rsid w:val="275C36E1"/>
    <w:rsid w:val="27723F26"/>
    <w:rsid w:val="277256A6"/>
    <w:rsid w:val="27845339"/>
    <w:rsid w:val="27A75F8C"/>
    <w:rsid w:val="27CC1EDE"/>
    <w:rsid w:val="280353B4"/>
    <w:rsid w:val="28140C86"/>
    <w:rsid w:val="28162DFC"/>
    <w:rsid w:val="2832594A"/>
    <w:rsid w:val="28364F84"/>
    <w:rsid w:val="28395A0A"/>
    <w:rsid w:val="28487688"/>
    <w:rsid w:val="284A27EC"/>
    <w:rsid w:val="287614BD"/>
    <w:rsid w:val="288B10B3"/>
    <w:rsid w:val="288E0972"/>
    <w:rsid w:val="28D70FAA"/>
    <w:rsid w:val="294D186E"/>
    <w:rsid w:val="295F2A5D"/>
    <w:rsid w:val="296D570C"/>
    <w:rsid w:val="297F629C"/>
    <w:rsid w:val="29A0020A"/>
    <w:rsid w:val="29DC7C0E"/>
    <w:rsid w:val="2A1060C5"/>
    <w:rsid w:val="2A217403"/>
    <w:rsid w:val="2A60750B"/>
    <w:rsid w:val="2A722B42"/>
    <w:rsid w:val="2A77663B"/>
    <w:rsid w:val="2A87375C"/>
    <w:rsid w:val="2A8C3341"/>
    <w:rsid w:val="2AC11AAE"/>
    <w:rsid w:val="2AD60AD2"/>
    <w:rsid w:val="2AD7762A"/>
    <w:rsid w:val="2AE872B2"/>
    <w:rsid w:val="2AE93303"/>
    <w:rsid w:val="2AF12DE8"/>
    <w:rsid w:val="2B033A24"/>
    <w:rsid w:val="2B090B73"/>
    <w:rsid w:val="2B1441B5"/>
    <w:rsid w:val="2B2A616E"/>
    <w:rsid w:val="2B45743A"/>
    <w:rsid w:val="2B762899"/>
    <w:rsid w:val="2B767E1B"/>
    <w:rsid w:val="2B894233"/>
    <w:rsid w:val="2B94283F"/>
    <w:rsid w:val="2BB935A2"/>
    <w:rsid w:val="2C2C6AC6"/>
    <w:rsid w:val="2C3A45A6"/>
    <w:rsid w:val="2C4A0DAF"/>
    <w:rsid w:val="2C5F0922"/>
    <w:rsid w:val="2C616EA2"/>
    <w:rsid w:val="2C7955CB"/>
    <w:rsid w:val="2C7E0547"/>
    <w:rsid w:val="2C7E55EE"/>
    <w:rsid w:val="2C81028E"/>
    <w:rsid w:val="2C8C26A9"/>
    <w:rsid w:val="2C92725E"/>
    <w:rsid w:val="2CD46B42"/>
    <w:rsid w:val="2CEC0344"/>
    <w:rsid w:val="2CEC4372"/>
    <w:rsid w:val="2CFC42C5"/>
    <w:rsid w:val="2D233927"/>
    <w:rsid w:val="2D260ACD"/>
    <w:rsid w:val="2D455A76"/>
    <w:rsid w:val="2D550AE7"/>
    <w:rsid w:val="2D594220"/>
    <w:rsid w:val="2D623671"/>
    <w:rsid w:val="2D67115C"/>
    <w:rsid w:val="2D692D2C"/>
    <w:rsid w:val="2DA96B06"/>
    <w:rsid w:val="2DB04B5A"/>
    <w:rsid w:val="2DBB27E5"/>
    <w:rsid w:val="2DD92C6B"/>
    <w:rsid w:val="2DE070C7"/>
    <w:rsid w:val="2DEE7FA1"/>
    <w:rsid w:val="2DF13B76"/>
    <w:rsid w:val="2DF42080"/>
    <w:rsid w:val="2E341BD4"/>
    <w:rsid w:val="2E42224D"/>
    <w:rsid w:val="2E5547F5"/>
    <w:rsid w:val="2E6E79B9"/>
    <w:rsid w:val="2E910BE6"/>
    <w:rsid w:val="2EC92486"/>
    <w:rsid w:val="2EEA5D06"/>
    <w:rsid w:val="2F0A1423"/>
    <w:rsid w:val="2F212B1B"/>
    <w:rsid w:val="2F231D47"/>
    <w:rsid w:val="2F247573"/>
    <w:rsid w:val="2F3F24A7"/>
    <w:rsid w:val="2F7469CF"/>
    <w:rsid w:val="2FA12EAC"/>
    <w:rsid w:val="2FB7522E"/>
    <w:rsid w:val="2FB845EB"/>
    <w:rsid w:val="2FD318CB"/>
    <w:rsid w:val="2FDF28BD"/>
    <w:rsid w:val="2FE22EB9"/>
    <w:rsid w:val="2FE71767"/>
    <w:rsid w:val="2FE71F8C"/>
    <w:rsid w:val="2FEA4F76"/>
    <w:rsid w:val="2FF52453"/>
    <w:rsid w:val="2FFC7C94"/>
    <w:rsid w:val="3009464C"/>
    <w:rsid w:val="30193654"/>
    <w:rsid w:val="302723B3"/>
    <w:rsid w:val="302C300D"/>
    <w:rsid w:val="304C1D28"/>
    <w:rsid w:val="305C18F0"/>
    <w:rsid w:val="309108E8"/>
    <w:rsid w:val="309860F9"/>
    <w:rsid w:val="309A4EE9"/>
    <w:rsid w:val="30A657B9"/>
    <w:rsid w:val="30B33C47"/>
    <w:rsid w:val="30B9489A"/>
    <w:rsid w:val="30E355A9"/>
    <w:rsid w:val="30F75D10"/>
    <w:rsid w:val="30F97BB0"/>
    <w:rsid w:val="313E7EBB"/>
    <w:rsid w:val="31501FE0"/>
    <w:rsid w:val="317B29B7"/>
    <w:rsid w:val="319D60B3"/>
    <w:rsid w:val="31A36372"/>
    <w:rsid w:val="31B030F4"/>
    <w:rsid w:val="31C562DF"/>
    <w:rsid w:val="31C607F5"/>
    <w:rsid w:val="31D56580"/>
    <w:rsid w:val="31E44ECB"/>
    <w:rsid w:val="31E555E3"/>
    <w:rsid w:val="31E66F05"/>
    <w:rsid w:val="31E8167E"/>
    <w:rsid w:val="31FD071D"/>
    <w:rsid w:val="32075FF9"/>
    <w:rsid w:val="32443E5A"/>
    <w:rsid w:val="32457C07"/>
    <w:rsid w:val="324643DF"/>
    <w:rsid w:val="32584AA6"/>
    <w:rsid w:val="32604EB6"/>
    <w:rsid w:val="3264470C"/>
    <w:rsid w:val="327C69B6"/>
    <w:rsid w:val="329B5328"/>
    <w:rsid w:val="329C25B9"/>
    <w:rsid w:val="329F698A"/>
    <w:rsid w:val="32AC7425"/>
    <w:rsid w:val="32C96850"/>
    <w:rsid w:val="32CF265D"/>
    <w:rsid w:val="32EC01EB"/>
    <w:rsid w:val="32FE18BC"/>
    <w:rsid w:val="33460E01"/>
    <w:rsid w:val="33790F65"/>
    <w:rsid w:val="337B0724"/>
    <w:rsid w:val="339117A5"/>
    <w:rsid w:val="339952D0"/>
    <w:rsid w:val="339F04B3"/>
    <w:rsid w:val="33A102C5"/>
    <w:rsid w:val="33B331DE"/>
    <w:rsid w:val="33D94348"/>
    <w:rsid w:val="342947A4"/>
    <w:rsid w:val="343C5AF5"/>
    <w:rsid w:val="34445E2A"/>
    <w:rsid w:val="344C30F0"/>
    <w:rsid w:val="34646996"/>
    <w:rsid w:val="348C0988"/>
    <w:rsid w:val="349E052D"/>
    <w:rsid w:val="34B306BA"/>
    <w:rsid w:val="34BF35E1"/>
    <w:rsid w:val="34C54BC4"/>
    <w:rsid w:val="34D36AA7"/>
    <w:rsid w:val="34F73927"/>
    <w:rsid w:val="35020FEA"/>
    <w:rsid w:val="35096635"/>
    <w:rsid w:val="35210273"/>
    <w:rsid w:val="3525036E"/>
    <w:rsid w:val="352620F9"/>
    <w:rsid w:val="352E7035"/>
    <w:rsid w:val="3542559A"/>
    <w:rsid w:val="355451AE"/>
    <w:rsid w:val="358C6730"/>
    <w:rsid w:val="35945C86"/>
    <w:rsid w:val="35DA4AA7"/>
    <w:rsid w:val="35E73681"/>
    <w:rsid w:val="35F25212"/>
    <w:rsid w:val="36217798"/>
    <w:rsid w:val="36233318"/>
    <w:rsid w:val="363B4629"/>
    <w:rsid w:val="36482DA5"/>
    <w:rsid w:val="365971BF"/>
    <w:rsid w:val="36624145"/>
    <w:rsid w:val="3680091B"/>
    <w:rsid w:val="36A23C7C"/>
    <w:rsid w:val="36B74153"/>
    <w:rsid w:val="36C11674"/>
    <w:rsid w:val="36C463CB"/>
    <w:rsid w:val="36C91BF7"/>
    <w:rsid w:val="36DA72DF"/>
    <w:rsid w:val="36E84C87"/>
    <w:rsid w:val="36EB5162"/>
    <w:rsid w:val="370C4434"/>
    <w:rsid w:val="371B2B1A"/>
    <w:rsid w:val="3720167C"/>
    <w:rsid w:val="373439B0"/>
    <w:rsid w:val="37360C27"/>
    <w:rsid w:val="375271A7"/>
    <w:rsid w:val="37741089"/>
    <w:rsid w:val="37824D42"/>
    <w:rsid w:val="378A6F6C"/>
    <w:rsid w:val="378C1A63"/>
    <w:rsid w:val="37BB0352"/>
    <w:rsid w:val="37BD0CE7"/>
    <w:rsid w:val="37C93D50"/>
    <w:rsid w:val="37E33B81"/>
    <w:rsid w:val="37E81E8B"/>
    <w:rsid w:val="37F37D5D"/>
    <w:rsid w:val="37F92887"/>
    <w:rsid w:val="3820785F"/>
    <w:rsid w:val="38252CDE"/>
    <w:rsid w:val="384B37C3"/>
    <w:rsid w:val="3859797B"/>
    <w:rsid w:val="386434FF"/>
    <w:rsid w:val="3884278B"/>
    <w:rsid w:val="388A1731"/>
    <w:rsid w:val="388D0268"/>
    <w:rsid w:val="38915D7F"/>
    <w:rsid w:val="38C05153"/>
    <w:rsid w:val="38C433A3"/>
    <w:rsid w:val="38CC5611"/>
    <w:rsid w:val="38DA111D"/>
    <w:rsid w:val="38E745FD"/>
    <w:rsid w:val="38F372D7"/>
    <w:rsid w:val="39097AF0"/>
    <w:rsid w:val="39731E4F"/>
    <w:rsid w:val="3974672F"/>
    <w:rsid w:val="398E17EE"/>
    <w:rsid w:val="39AE7AD5"/>
    <w:rsid w:val="39CD0559"/>
    <w:rsid w:val="39FE2EDB"/>
    <w:rsid w:val="3A02520D"/>
    <w:rsid w:val="3A072ABB"/>
    <w:rsid w:val="3A347996"/>
    <w:rsid w:val="3A40040E"/>
    <w:rsid w:val="3A4A6CC8"/>
    <w:rsid w:val="3A4D5A3D"/>
    <w:rsid w:val="3A5C15C2"/>
    <w:rsid w:val="3A70719D"/>
    <w:rsid w:val="3A8611F2"/>
    <w:rsid w:val="3A8B4405"/>
    <w:rsid w:val="3AC3694E"/>
    <w:rsid w:val="3AE20853"/>
    <w:rsid w:val="3AF75101"/>
    <w:rsid w:val="3AFF3F87"/>
    <w:rsid w:val="3B0258BA"/>
    <w:rsid w:val="3B0836DD"/>
    <w:rsid w:val="3B1247DC"/>
    <w:rsid w:val="3B141874"/>
    <w:rsid w:val="3B1461A5"/>
    <w:rsid w:val="3B240A83"/>
    <w:rsid w:val="3B442610"/>
    <w:rsid w:val="3B4507C2"/>
    <w:rsid w:val="3B7D3F37"/>
    <w:rsid w:val="3B9961EF"/>
    <w:rsid w:val="3BB00042"/>
    <w:rsid w:val="3BC52EBF"/>
    <w:rsid w:val="3C271500"/>
    <w:rsid w:val="3C426E7F"/>
    <w:rsid w:val="3C6660CC"/>
    <w:rsid w:val="3C740F54"/>
    <w:rsid w:val="3CA8662A"/>
    <w:rsid w:val="3CC25643"/>
    <w:rsid w:val="3CDC669F"/>
    <w:rsid w:val="3CE46DB6"/>
    <w:rsid w:val="3CF700F0"/>
    <w:rsid w:val="3D060A2C"/>
    <w:rsid w:val="3D1912D6"/>
    <w:rsid w:val="3D1F3858"/>
    <w:rsid w:val="3D272A15"/>
    <w:rsid w:val="3D303C1B"/>
    <w:rsid w:val="3D480C28"/>
    <w:rsid w:val="3D7B3D3F"/>
    <w:rsid w:val="3D9904A8"/>
    <w:rsid w:val="3D9B7C08"/>
    <w:rsid w:val="3DCF2F0E"/>
    <w:rsid w:val="3DE11490"/>
    <w:rsid w:val="3DE87D1F"/>
    <w:rsid w:val="3E0166B6"/>
    <w:rsid w:val="3E0939B8"/>
    <w:rsid w:val="3E0B589F"/>
    <w:rsid w:val="3E161FA3"/>
    <w:rsid w:val="3E360F1A"/>
    <w:rsid w:val="3E576838"/>
    <w:rsid w:val="3E774506"/>
    <w:rsid w:val="3E954264"/>
    <w:rsid w:val="3E9E1A93"/>
    <w:rsid w:val="3EA77A82"/>
    <w:rsid w:val="3EA86885"/>
    <w:rsid w:val="3EAB6924"/>
    <w:rsid w:val="3EB2686D"/>
    <w:rsid w:val="3ED6628B"/>
    <w:rsid w:val="3EE02B3D"/>
    <w:rsid w:val="3EE50F64"/>
    <w:rsid w:val="3EF55B69"/>
    <w:rsid w:val="3EFD5DB1"/>
    <w:rsid w:val="3F0D611F"/>
    <w:rsid w:val="3F14397C"/>
    <w:rsid w:val="3F15772E"/>
    <w:rsid w:val="3F2C52F0"/>
    <w:rsid w:val="3F335ABF"/>
    <w:rsid w:val="3F562646"/>
    <w:rsid w:val="3F7456FF"/>
    <w:rsid w:val="3FB14F0D"/>
    <w:rsid w:val="3FB83C06"/>
    <w:rsid w:val="3FEE1594"/>
    <w:rsid w:val="3FF07935"/>
    <w:rsid w:val="400100C6"/>
    <w:rsid w:val="400E2FCF"/>
    <w:rsid w:val="40236950"/>
    <w:rsid w:val="404A2A0D"/>
    <w:rsid w:val="404E4CF7"/>
    <w:rsid w:val="40642C16"/>
    <w:rsid w:val="408741C6"/>
    <w:rsid w:val="40883AC7"/>
    <w:rsid w:val="40896356"/>
    <w:rsid w:val="40A630BE"/>
    <w:rsid w:val="40BF3346"/>
    <w:rsid w:val="40C32359"/>
    <w:rsid w:val="40D23798"/>
    <w:rsid w:val="40D530C7"/>
    <w:rsid w:val="40FE3BBC"/>
    <w:rsid w:val="410640C1"/>
    <w:rsid w:val="41107C18"/>
    <w:rsid w:val="41126BED"/>
    <w:rsid w:val="41273C56"/>
    <w:rsid w:val="412A09B0"/>
    <w:rsid w:val="412A7FBD"/>
    <w:rsid w:val="414F7C35"/>
    <w:rsid w:val="41790595"/>
    <w:rsid w:val="41A03D74"/>
    <w:rsid w:val="41AE76AE"/>
    <w:rsid w:val="41B8730F"/>
    <w:rsid w:val="41D23C6D"/>
    <w:rsid w:val="41D761C4"/>
    <w:rsid w:val="41DF2AEE"/>
    <w:rsid w:val="41E728B5"/>
    <w:rsid w:val="41FA7928"/>
    <w:rsid w:val="41FF78E4"/>
    <w:rsid w:val="42096C23"/>
    <w:rsid w:val="420A788E"/>
    <w:rsid w:val="42115608"/>
    <w:rsid w:val="422F4204"/>
    <w:rsid w:val="42474FEF"/>
    <w:rsid w:val="424B48B8"/>
    <w:rsid w:val="42644F0A"/>
    <w:rsid w:val="42AC3816"/>
    <w:rsid w:val="42AE426E"/>
    <w:rsid w:val="42B24FA7"/>
    <w:rsid w:val="42DE52A7"/>
    <w:rsid w:val="43020939"/>
    <w:rsid w:val="4308190D"/>
    <w:rsid w:val="43084D38"/>
    <w:rsid w:val="431D2FFE"/>
    <w:rsid w:val="4320223D"/>
    <w:rsid w:val="43306C71"/>
    <w:rsid w:val="436B3EF9"/>
    <w:rsid w:val="438A1671"/>
    <w:rsid w:val="439648E6"/>
    <w:rsid w:val="43A876E2"/>
    <w:rsid w:val="43BC29BB"/>
    <w:rsid w:val="43D939B3"/>
    <w:rsid w:val="44027B6F"/>
    <w:rsid w:val="4419232D"/>
    <w:rsid w:val="44341DEA"/>
    <w:rsid w:val="443523CC"/>
    <w:rsid w:val="445619FE"/>
    <w:rsid w:val="448C2688"/>
    <w:rsid w:val="44A65915"/>
    <w:rsid w:val="44AD664C"/>
    <w:rsid w:val="44B0655A"/>
    <w:rsid w:val="44CA13FA"/>
    <w:rsid w:val="44D75CFE"/>
    <w:rsid w:val="44F430EE"/>
    <w:rsid w:val="44F6130D"/>
    <w:rsid w:val="450B77DC"/>
    <w:rsid w:val="45275A04"/>
    <w:rsid w:val="45370972"/>
    <w:rsid w:val="453E06B0"/>
    <w:rsid w:val="45683DD2"/>
    <w:rsid w:val="45BD3146"/>
    <w:rsid w:val="45CD08D7"/>
    <w:rsid w:val="45E12D8C"/>
    <w:rsid w:val="45E87AB3"/>
    <w:rsid w:val="46086E79"/>
    <w:rsid w:val="46123539"/>
    <w:rsid w:val="462B066D"/>
    <w:rsid w:val="4630297D"/>
    <w:rsid w:val="46341D78"/>
    <w:rsid w:val="463A69DA"/>
    <w:rsid w:val="463B6B6F"/>
    <w:rsid w:val="463E3586"/>
    <w:rsid w:val="463F330C"/>
    <w:rsid w:val="46401A6B"/>
    <w:rsid w:val="464C7B13"/>
    <w:rsid w:val="464E2B22"/>
    <w:rsid w:val="46600955"/>
    <w:rsid w:val="466D1616"/>
    <w:rsid w:val="4674275C"/>
    <w:rsid w:val="468B18AD"/>
    <w:rsid w:val="468B2CDE"/>
    <w:rsid w:val="46BA1434"/>
    <w:rsid w:val="46CD560B"/>
    <w:rsid w:val="46CF3D34"/>
    <w:rsid w:val="46D66739"/>
    <w:rsid w:val="46E437F7"/>
    <w:rsid w:val="46FB6EF1"/>
    <w:rsid w:val="472A3860"/>
    <w:rsid w:val="47677229"/>
    <w:rsid w:val="47840B4B"/>
    <w:rsid w:val="47847600"/>
    <w:rsid w:val="47C22C96"/>
    <w:rsid w:val="47C7708B"/>
    <w:rsid w:val="47E43DFE"/>
    <w:rsid w:val="47E76884"/>
    <w:rsid w:val="480159F9"/>
    <w:rsid w:val="481A13D9"/>
    <w:rsid w:val="481F5098"/>
    <w:rsid w:val="48251886"/>
    <w:rsid w:val="482E3137"/>
    <w:rsid w:val="48481321"/>
    <w:rsid w:val="484B0A9F"/>
    <w:rsid w:val="48633A5D"/>
    <w:rsid w:val="486A50DB"/>
    <w:rsid w:val="487E09F0"/>
    <w:rsid w:val="489954BE"/>
    <w:rsid w:val="489A40D9"/>
    <w:rsid w:val="48BA31C7"/>
    <w:rsid w:val="48CD5480"/>
    <w:rsid w:val="48DE7CC9"/>
    <w:rsid w:val="49007589"/>
    <w:rsid w:val="490A554E"/>
    <w:rsid w:val="492A6E42"/>
    <w:rsid w:val="4956488F"/>
    <w:rsid w:val="49564BDB"/>
    <w:rsid w:val="49647D7D"/>
    <w:rsid w:val="496F53C1"/>
    <w:rsid w:val="49861757"/>
    <w:rsid w:val="49974325"/>
    <w:rsid w:val="49A16D2B"/>
    <w:rsid w:val="49AC3D2C"/>
    <w:rsid w:val="49AF724A"/>
    <w:rsid w:val="49EC041F"/>
    <w:rsid w:val="49F72B88"/>
    <w:rsid w:val="4A035F64"/>
    <w:rsid w:val="4A086D25"/>
    <w:rsid w:val="4A155267"/>
    <w:rsid w:val="4A226107"/>
    <w:rsid w:val="4A8C30E7"/>
    <w:rsid w:val="4AF84F10"/>
    <w:rsid w:val="4B0C6E50"/>
    <w:rsid w:val="4B1B460B"/>
    <w:rsid w:val="4B1E0071"/>
    <w:rsid w:val="4B215F25"/>
    <w:rsid w:val="4B404D29"/>
    <w:rsid w:val="4B5D434F"/>
    <w:rsid w:val="4B691AA3"/>
    <w:rsid w:val="4B6B79E2"/>
    <w:rsid w:val="4BAF0131"/>
    <w:rsid w:val="4C0674F4"/>
    <w:rsid w:val="4C0B5306"/>
    <w:rsid w:val="4C0F0DEF"/>
    <w:rsid w:val="4C191C8F"/>
    <w:rsid w:val="4C297EE5"/>
    <w:rsid w:val="4C2B0580"/>
    <w:rsid w:val="4C380AED"/>
    <w:rsid w:val="4C492D37"/>
    <w:rsid w:val="4C713DCD"/>
    <w:rsid w:val="4C880754"/>
    <w:rsid w:val="4C940979"/>
    <w:rsid w:val="4CBB5CAE"/>
    <w:rsid w:val="4CC62ECD"/>
    <w:rsid w:val="4CFD7583"/>
    <w:rsid w:val="4D03613D"/>
    <w:rsid w:val="4D1F0D23"/>
    <w:rsid w:val="4D3471E9"/>
    <w:rsid w:val="4D4D467D"/>
    <w:rsid w:val="4D61465C"/>
    <w:rsid w:val="4D714852"/>
    <w:rsid w:val="4D761E2D"/>
    <w:rsid w:val="4D7A7B6F"/>
    <w:rsid w:val="4D8F2079"/>
    <w:rsid w:val="4D92270B"/>
    <w:rsid w:val="4D940279"/>
    <w:rsid w:val="4DAE0DF2"/>
    <w:rsid w:val="4DCD4142"/>
    <w:rsid w:val="4E052CC7"/>
    <w:rsid w:val="4E3C0AF7"/>
    <w:rsid w:val="4E4479ED"/>
    <w:rsid w:val="4E7459E7"/>
    <w:rsid w:val="4E8B2071"/>
    <w:rsid w:val="4E921450"/>
    <w:rsid w:val="4EB102D8"/>
    <w:rsid w:val="4EB90223"/>
    <w:rsid w:val="4EBA0B7B"/>
    <w:rsid w:val="4ED4537D"/>
    <w:rsid w:val="4EFC29A9"/>
    <w:rsid w:val="4F2002A2"/>
    <w:rsid w:val="4F3460BC"/>
    <w:rsid w:val="4F452C01"/>
    <w:rsid w:val="4F4F50CF"/>
    <w:rsid w:val="4F7A529F"/>
    <w:rsid w:val="4F7C0246"/>
    <w:rsid w:val="4F9245CD"/>
    <w:rsid w:val="4FD70D55"/>
    <w:rsid w:val="4FD74B04"/>
    <w:rsid w:val="4FF96ECB"/>
    <w:rsid w:val="50001A89"/>
    <w:rsid w:val="5019541D"/>
    <w:rsid w:val="501C6CBB"/>
    <w:rsid w:val="502112DF"/>
    <w:rsid w:val="50416638"/>
    <w:rsid w:val="505232D1"/>
    <w:rsid w:val="505C0D9B"/>
    <w:rsid w:val="50616D82"/>
    <w:rsid w:val="507A3E59"/>
    <w:rsid w:val="508154C3"/>
    <w:rsid w:val="50B43970"/>
    <w:rsid w:val="50C5370B"/>
    <w:rsid w:val="50CE290B"/>
    <w:rsid w:val="50D85B68"/>
    <w:rsid w:val="50D94EBD"/>
    <w:rsid w:val="51022355"/>
    <w:rsid w:val="51344B1B"/>
    <w:rsid w:val="513A1856"/>
    <w:rsid w:val="51476D5F"/>
    <w:rsid w:val="51692BDB"/>
    <w:rsid w:val="51BD75DB"/>
    <w:rsid w:val="51D9213F"/>
    <w:rsid w:val="51E851F7"/>
    <w:rsid w:val="520B2DE5"/>
    <w:rsid w:val="525669E2"/>
    <w:rsid w:val="525A22D1"/>
    <w:rsid w:val="52640FD7"/>
    <w:rsid w:val="528F05F8"/>
    <w:rsid w:val="529F5982"/>
    <w:rsid w:val="52AD599B"/>
    <w:rsid w:val="52B23E16"/>
    <w:rsid w:val="52B8754E"/>
    <w:rsid w:val="52EF6767"/>
    <w:rsid w:val="53134CFE"/>
    <w:rsid w:val="53225BC7"/>
    <w:rsid w:val="53430A03"/>
    <w:rsid w:val="535D3FF5"/>
    <w:rsid w:val="536746F1"/>
    <w:rsid w:val="538F5B81"/>
    <w:rsid w:val="5398764E"/>
    <w:rsid w:val="53D71825"/>
    <w:rsid w:val="53F6399B"/>
    <w:rsid w:val="5401760D"/>
    <w:rsid w:val="540D1742"/>
    <w:rsid w:val="542C1079"/>
    <w:rsid w:val="542D08F6"/>
    <w:rsid w:val="543C67CF"/>
    <w:rsid w:val="54447ACA"/>
    <w:rsid w:val="545D5354"/>
    <w:rsid w:val="547E642B"/>
    <w:rsid w:val="54AB4AB2"/>
    <w:rsid w:val="54B2030A"/>
    <w:rsid w:val="54B90FC5"/>
    <w:rsid w:val="54BC4614"/>
    <w:rsid w:val="54BD76D6"/>
    <w:rsid w:val="54CA1B50"/>
    <w:rsid w:val="54D94B2F"/>
    <w:rsid w:val="54E41506"/>
    <w:rsid w:val="54E61FC7"/>
    <w:rsid w:val="54FD6E34"/>
    <w:rsid w:val="551001F4"/>
    <w:rsid w:val="55342146"/>
    <w:rsid w:val="55515659"/>
    <w:rsid w:val="55572A75"/>
    <w:rsid w:val="559917B9"/>
    <w:rsid w:val="55A57CBC"/>
    <w:rsid w:val="55D34D07"/>
    <w:rsid w:val="55D80381"/>
    <w:rsid w:val="55DA61D8"/>
    <w:rsid w:val="55DF660A"/>
    <w:rsid w:val="55E411F4"/>
    <w:rsid w:val="55ED15A4"/>
    <w:rsid w:val="56066D6E"/>
    <w:rsid w:val="56395F4D"/>
    <w:rsid w:val="563E1B59"/>
    <w:rsid w:val="56470411"/>
    <w:rsid w:val="564E101E"/>
    <w:rsid w:val="56510F88"/>
    <w:rsid w:val="56533717"/>
    <w:rsid w:val="566219B3"/>
    <w:rsid w:val="569139C8"/>
    <w:rsid w:val="56994D7E"/>
    <w:rsid w:val="569D5176"/>
    <w:rsid w:val="56B46B23"/>
    <w:rsid w:val="56F067D8"/>
    <w:rsid w:val="56FD00F4"/>
    <w:rsid w:val="57031215"/>
    <w:rsid w:val="570C370C"/>
    <w:rsid w:val="571862C5"/>
    <w:rsid w:val="57276CFE"/>
    <w:rsid w:val="573F12EE"/>
    <w:rsid w:val="57413B0F"/>
    <w:rsid w:val="57642957"/>
    <w:rsid w:val="5785790F"/>
    <w:rsid w:val="57A65BB5"/>
    <w:rsid w:val="57C14F70"/>
    <w:rsid w:val="57CE1D50"/>
    <w:rsid w:val="57D07F9A"/>
    <w:rsid w:val="57D30F60"/>
    <w:rsid w:val="57FF7E19"/>
    <w:rsid w:val="58031344"/>
    <w:rsid w:val="5808056C"/>
    <w:rsid w:val="581249B6"/>
    <w:rsid w:val="5812647A"/>
    <w:rsid w:val="581350F9"/>
    <w:rsid w:val="58144CB1"/>
    <w:rsid w:val="58230745"/>
    <w:rsid w:val="582F4797"/>
    <w:rsid w:val="58381187"/>
    <w:rsid w:val="586F1254"/>
    <w:rsid w:val="588D721B"/>
    <w:rsid w:val="589568F1"/>
    <w:rsid w:val="589F4FAB"/>
    <w:rsid w:val="58B07505"/>
    <w:rsid w:val="58B85B2E"/>
    <w:rsid w:val="58BE59FD"/>
    <w:rsid w:val="58CF0244"/>
    <w:rsid w:val="58D423C5"/>
    <w:rsid w:val="58DE7204"/>
    <w:rsid w:val="58E34311"/>
    <w:rsid w:val="58ED186B"/>
    <w:rsid w:val="59071FC9"/>
    <w:rsid w:val="592475EC"/>
    <w:rsid w:val="59411541"/>
    <w:rsid w:val="596D092E"/>
    <w:rsid w:val="59796B9B"/>
    <w:rsid w:val="59A60D52"/>
    <w:rsid w:val="59AF6973"/>
    <w:rsid w:val="59B44E25"/>
    <w:rsid w:val="59C61418"/>
    <w:rsid w:val="59D22E94"/>
    <w:rsid w:val="59DC34E4"/>
    <w:rsid w:val="59DE00EC"/>
    <w:rsid w:val="59FA62BF"/>
    <w:rsid w:val="5A2346E5"/>
    <w:rsid w:val="5A396BB0"/>
    <w:rsid w:val="5A754A97"/>
    <w:rsid w:val="5A771AB6"/>
    <w:rsid w:val="5A881646"/>
    <w:rsid w:val="5A9322B2"/>
    <w:rsid w:val="5AB55A65"/>
    <w:rsid w:val="5B257CEF"/>
    <w:rsid w:val="5B31136D"/>
    <w:rsid w:val="5B345E34"/>
    <w:rsid w:val="5B516E1B"/>
    <w:rsid w:val="5B536C75"/>
    <w:rsid w:val="5B6F78CC"/>
    <w:rsid w:val="5B752213"/>
    <w:rsid w:val="5B764FBD"/>
    <w:rsid w:val="5B8A3E81"/>
    <w:rsid w:val="5B90098C"/>
    <w:rsid w:val="5BA152D3"/>
    <w:rsid w:val="5BAF3BEF"/>
    <w:rsid w:val="5BB75E3D"/>
    <w:rsid w:val="5BC763B6"/>
    <w:rsid w:val="5BCB4BF5"/>
    <w:rsid w:val="5C290E36"/>
    <w:rsid w:val="5C4764F0"/>
    <w:rsid w:val="5C4B0587"/>
    <w:rsid w:val="5C5617A7"/>
    <w:rsid w:val="5C5F065B"/>
    <w:rsid w:val="5C761A3E"/>
    <w:rsid w:val="5C883844"/>
    <w:rsid w:val="5C974CA4"/>
    <w:rsid w:val="5CAF3A62"/>
    <w:rsid w:val="5CEB3035"/>
    <w:rsid w:val="5D1C654D"/>
    <w:rsid w:val="5D367C15"/>
    <w:rsid w:val="5D3B4A80"/>
    <w:rsid w:val="5D497BA8"/>
    <w:rsid w:val="5D621100"/>
    <w:rsid w:val="5D813BD4"/>
    <w:rsid w:val="5D992093"/>
    <w:rsid w:val="5DAB1F56"/>
    <w:rsid w:val="5DB707EC"/>
    <w:rsid w:val="5DD8328E"/>
    <w:rsid w:val="5DE1251B"/>
    <w:rsid w:val="5DFD2356"/>
    <w:rsid w:val="5E05760E"/>
    <w:rsid w:val="5E095616"/>
    <w:rsid w:val="5E0A55EC"/>
    <w:rsid w:val="5E220CAA"/>
    <w:rsid w:val="5E746AB3"/>
    <w:rsid w:val="5E923A05"/>
    <w:rsid w:val="5EA24AE2"/>
    <w:rsid w:val="5EBC4AE9"/>
    <w:rsid w:val="5EBF6B1D"/>
    <w:rsid w:val="5ECD4D0A"/>
    <w:rsid w:val="5ED24CE4"/>
    <w:rsid w:val="5EE32630"/>
    <w:rsid w:val="5EF07763"/>
    <w:rsid w:val="5F33501C"/>
    <w:rsid w:val="5F336E0D"/>
    <w:rsid w:val="5F564944"/>
    <w:rsid w:val="5F65097C"/>
    <w:rsid w:val="5F697976"/>
    <w:rsid w:val="5FC313BE"/>
    <w:rsid w:val="5FCA1004"/>
    <w:rsid w:val="5FF67115"/>
    <w:rsid w:val="5FFA1D51"/>
    <w:rsid w:val="60095616"/>
    <w:rsid w:val="60180053"/>
    <w:rsid w:val="60304AE7"/>
    <w:rsid w:val="60365928"/>
    <w:rsid w:val="60725C2A"/>
    <w:rsid w:val="607D1FE4"/>
    <w:rsid w:val="60937E12"/>
    <w:rsid w:val="60D727D5"/>
    <w:rsid w:val="60FC13A5"/>
    <w:rsid w:val="610D0751"/>
    <w:rsid w:val="611B4695"/>
    <w:rsid w:val="614A7E08"/>
    <w:rsid w:val="616D2FC3"/>
    <w:rsid w:val="619C4159"/>
    <w:rsid w:val="61FE6BB3"/>
    <w:rsid w:val="621B7DD4"/>
    <w:rsid w:val="6246546D"/>
    <w:rsid w:val="624A17DE"/>
    <w:rsid w:val="6265037D"/>
    <w:rsid w:val="62824074"/>
    <w:rsid w:val="62B6027F"/>
    <w:rsid w:val="62C31860"/>
    <w:rsid w:val="62C960A7"/>
    <w:rsid w:val="62FD26A4"/>
    <w:rsid w:val="63073ACF"/>
    <w:rsid w:val="63144121"/>
    <w:rsid w:val="63337C84"/>
    <w:rsid w:val="63403764"/>
    <w:rsid w:val="63467B5D"/>
    <w:rsid w:val="63482197"/>
    <w:rsid w:val="636B4D37"/>
    <w:rsid w:val="6375017C"/>
    <w:rsid w:val="637E6195"/>
    <w:rsid w:val="638B4000"/>
    <w:rsid w:val="63927568"/>
    <w:rsid w:val="63A11786"/>
    <w:rsid w:val="63B42889"/>
    <w:rsid w:val="63C37439"/>
    <w:rsid w:val="63C52370"/>
    <w:rsid w:val="63E67847"/>
    <w:rsid w:val="6422190F"/>
    <w:rsid w:val="6427288A"/>
    <w:rsid w:val="642A39F6"/>
    <w:rsid w:val="642E4F7C"/>
    <w:rsid w:val="644F403C"/>
    <w:rsid w:val="644F78DF"/>
    <w:rsid w:val="646F1658"/>
    <w:rsid w:val="647366A8"/>
    <w:rsid w:val="648F6263"/>
    <w:rsid w:val="64AA6B34"/>
    <w:rsid w:val="64BF6F35"/>
    <w:rsid w:val="6504220F"/>
    <w:rsid w:val="652D68DC"/>
    <w:rsid w:val="65424528"/>
    <w:rsid w:val="65444892"/>
    <w:rsid w:val="65444AA1"/>
    <w:rsid w:val="65452D6C"/>
    <w:rsid w:val="65643F89"/>
    <w:rsid w:val="656C4632"/>
    <w:rsid w:val="6583448A"/>
    <w:rsid w:val="658504AA"/>
    <w:rsid w:val="65854BC5"/>
    <w:rsid w:val="65CF56DC"/>
    <w:rsid w:val="65D73958"/>
    <w:rsid w:val="65E6689C"/>
    <w:rsid w:val="65F43783"/>
    <w:rsid w:val="6624234B"/>
    <w:rsid w:val="663C4E53"/>
    <w:rsid w:val="66521231"/>
    <w:rsid w:val="66561170"/>
    <w:rsid w:val="668959F7"/>
    <w:rsid w:val="66980606"/>
    <w:rsid w:val="66B46AAA"/>
    <w:rsid w:val="66BE3421"/>
    <w:rsid w:val="66D242B8"/>
    <w:rsid w:val="66ED0588"/>
    <w:rsid w:val="66F85E6C"/>
    <w:rsid w:val="6700562C"/>
    <w:rsid w:val="67025B64"/>
    <w:rsid w:val="671B0BB6"/>
    <w:rsid w:val="67207A6C"/>
    <w:rsid w:val="672A6455"/>
    <w:rsid w:val="6748498E"/>
    <w:rsid w:val="67985AE4"/>
    <w:rsid w:val="67E5409F"/>
    <w:rsid w:val="681D2249"/>
    <w:rsid w:val="68291E60"/>
    <w:rsid w:val="68417828"/>
    <w:rsid w:val="68711D88"/>
    <w:rsid w:val="687C2F3A"/>
    <w:rsid w:val="68801421"/>
    <w:rsid w:val="689924E3"/>
    <w:rsid w:val="68A3392F"/>
    <w:rsid w:val="68BB308B"/>
    <w:rsid w:val="68C20CE2"/>
    <w:rsid w:val="68C210F3"/>
    <w:rsid w:val="68C87588"/>
    <w:rsid w:val="68CB7EFB"/>
    <w:rsid w:val="68D44DE9"/>
    <w:rsid w:val="68D47E36"/>
    <w:rsid w:val="68EC774B"/>
    <w:rsid w:val="68F22633"/>
    <w:rsid w:val="69323667"/>
    <w:rsid w:val="69337BBE"/>
    <w:rsid w:val="696C7B55"/>
    <w:rsid w:val="697553BE"/>
    <w:rsid w:val="69875568"/>
    <w:rsid w:val="698D7242"/>
    <w:rsid w:val="69A1499A"/>
    <w:rsid w:val="69C64084"/>
    <w:rsid w:val="69D466D2"/>
    <w:rsid w:val="69F17ED9"/>
    <w:rsid w:val="69F80412"/>
    <w:rsid w:val="69FE544F"/>
    <w:rsid w:val="6A1B15C8"/>
    <w:rsid w:val="6A217C49"/>
    <w:rsid w:val="6A364983"/>
    <w:rsid w:val="6A5C3225"/>
    <w:rsid w:val="6A6F4793"/>
    <w:rsid w:val="6A7C60EE"/>
    <w:rsid w:val="6A9A35FC"/>
    <w:rsid w:val="6A9F59CC"/>
    <w:rsid w:val="6AB20272"/>
    <w:rsid w:val="6AB83DA8"/>
    <w:rsid w:val="6ABC5E2E"/>
    <w:rsid w:val="6AEB50C7"/>
    <w:rsid w:val="6AF0443A"/>
    <w:rsid w:val="6AFF5620"/>
    <w:rsid w:val="6B04141B"/>
    <w:rsid w:val="6B435728"/>
    <w:rsid w:val="6B4653E5"/>
    <w:rsid w:val="6B70460E"/>
    <w:rsid w:val="6B93780D"/>
    <w:rsid w:val="6B9967E4"/>
    <w:rsid w:val="6BB94D3B"/>
    <w:rsid w:val="6BF24DAC"/>
    <w:rsid w:val="6BF95CB0"/>
    <w:rsid w:val="6C365794"/>
    <w:rsid w:val="6C377D9B"/>
    <w:rsid w:val="6C504F34"/>
    <w:rsid w:val="6C624491"/>
    <w:rsid w:val="6C6F2614"/>
    <w:rsid w:val="6C8F03BB"/>
    <w:rsid w:val="6C97040A"/>
    <w:rsid w:val="6CB24EA6"/>
    <w:rsid w:val="6CDA09DD"/>
    <w:rsid w:val="6CE9602C"/>
    <w:rsid w:val="6D253CED"/>
    <w:rsid w:val="6D6436FE"/>
    <w:rsid w:val="6D6A666C"/>
    <w:rsid w:val="6D7A0557"/>
    <w:rsid w:val="6D7B39F1"/>
    <w:rsid w:val="6D917B50"/>
    <w:rsid w:val="6DA650A0"/>
    <w:rsid w:val="6DAA6147"/>
    <w:rsid w:val="6DAB2625"/>
    <w:rsid w:val="6E4D2CE6"/>
    <w:rsid w:val="6E612A0B"/>
    <w:rsid w:val="6E657628"/>
    <w:rsid w:val="6E835F17"/>
    <w:rsid w:val="6E8C409D"/>
    <w:rsid w:val="6E8E001D"/>
    <w:rsid w:val="6E935C6A"/>
    <w:rsid w:val="6EB77C85"/>
    <w:rsid w:val="6ECB7DD2"/>
    <w:rsid w:val="6ED07587"/>
    <w:rsid w:val="6EDB11D2"/>
    <w:rsid w:val="6EE30E04"/>
    <w:rsid w:val="6EF677CE"/>
    <w:rsid w:val="6F181875"/>
    <w:rsid w:val="6F2B3A1C"/>
    <w:rsid w:val="6F2F7374"/>
    <w:rsid w:val="6F3F52E1"/>
    <w:rsid w:val="6F7F4719"/>
    <w:rsid w:val="6F9808B4"/>
    <w:rsid w:val="6FA420CE"/>
    <w:rsid w:val="6FAC365B"/>
    <w:rsid w:val="6FB669AE"/>
    <w:rsid w:val="6FC802B8"/>
    <w:rsid w:val="6FFB3A44"/>
    <w:rsid w:val="70123BE2"/>
    <w:rsid w:val="70170AC1"/>
    <w:rsid w:val="701914B4"/>
    <w:rsid w:val="707A4EA0"/>
    <w:rsid w:val="70901C63"/>
    <w:rsid w:val="70B86186"/>
    <w:rsid w:val="70C45DB9"/>
    <w:rsid w:val="70C51FA9"/>
    <w:rsid w:val="70DA445B"/>
    <w:rsid w:val="70F8637D"/>
    <w:rsid w:val="711F2841"/>
    <w:rsid w:val="712E62E2"/>
    <w:rsid w:val="71331668"/>
    <w:rsid w:val="717048FC"/>
    <w:rsid w:val="717E32CB"/>
    <w:rsid w:val="7185361D"/>
    <w:rsid w:val="718E6DD7"/>
    <w:rsid w:val="71B95EB9"/>
    <w:rsid w:val="71D04306"/>
    <w:rsid w:val="71FD5F5B"/>
    <w:rsid w:val="721756B2"/>
    <w:rsid w:val="726F6DB7"/>
    <w:rsid w:val="7274401A"/>
    <w:rsid w:val="728F5A40"/>
    <w:rsid w:val="729A508F"/>
    <w:rsid w:val="72B31C23"/>
    <w:rsid w:val="72C848DA"/>
    <w:rsid w:val="72C94629"/>
    <w:rsid w:val="72DC0C36"/>
    <w:rsid w:val="72ED3634"/>
    <w:rsid w:val="72EE1173"/>
    <w:rsid w:val="73065A47"/>
    <w:rsid w:val="731D6723"/>
    <w:rsid w:val="73234250"/>
    <w:rsid w:val="73295789"/>
    <w:rsid w:val="736461BC"/>
    <w:rsid w:val="737F6B89"/>
    <w:rsid w:val="73816A9D"/>
    <w:rsid w:val="739F414E"/>
    <w:rsid w:val="73A40298"/>
    <w:rsid w:val="73C015BC"/>
    <w:rsid w:val="73CF0DE1"/>
    <w:rsid w:val="73D43F6F"/>
    <w:rsid w:val="73D50A0D"/>
    <w:rsid w:val="74095E36"/>
    <w:rsid w:val="741868F7"/>
    <w:rsid w:val="74245090"/>
    <w:rsid w:val="74463A57"/>
    <w:rsid w:val="74737629"/>
    <w:rsid w:val="7476226E"/>
    <w:rsid w:val="7481473F"/>
    <w:rsid w:val="748516FB"/>
    <w:rsid w:val="749501EC"/>
    <w:rsid w:val="74E90B4C"/>
    <w:rsid w:val="74ED2814"/>
    <w:rsid w:val="754841A2"/>
    <w:rsid w:val="754E4DBD"/>
    <w:rsid w:val="756B7E85"/>
    <w:rsid w:val="759251A6"/>
    <w:rsid w:val="759258EB"/>
    <w:rsid w:val="75C421FE"/>
    <w:rsid w:val="75EF7C2F"/>
    <w:rsid w:val="75FF172B"/>
    <w:rsid w:val="75FF7D37"/>
    <w:rsid w:val="760A7810"/>
    <w:rsid w:val="761967A1"/>
    <w:rsid w:val="761A731D"/>
    <w:rsid w:val="76333FB0"/>
    <w:rsid w:val="76380526"/>
    <w:rsid w:val="76385BC5"/>
    <w:rsid w:val="76592168"/>
    <w:rsid w:val="76824B99"/>
    <w:rsid w:val="769819E2"/>
    <w:rsid w:val="76A34F68"/>
    <w:rsid w:val="76A36EA3"/>
    <w:rsid w:val="76B9552B"/>
    <w:rsid w:val="76BC616E"/>
    <w:rsid w:val="76C12E74"/>
    <w:rsid w:val="76CC3B7A"/>
    <w:rsid w:val="76F16857"/>
    <w:rsid w:val="76FD18DB"/>
    <w:rsid w:val="77060B68"/>
    <w:rsid w:val="77156186"/>
    <w:rsid w:val="77192A49"/>
    <w:rsid w:val="77330E02"/>
    <w:rsid w:val="775673D8"/>
    <w:rsid w:val="775B34B0"/>
    <w:rsid w:val="778143D3"/>
    <w:rsid w:val="77C87A39"/>
    <w:rsid w:val="77CA50CB"/>
    <w:rsid w:val="77FA3B28"/>
    <w:rsid w:val="781F63BA"/>
    <w:rsid w:val="783B36DD"/>
    <w:rsid w:val="783B63BE"/>
    <w:rsid w:val="78426680"/>
    <w:rsid w:val="786C4595"/>
    <w:rsid w:val="78713799"/>
    <w:rsid w:val="787626A1"/>
    <w:rsid w:val="78763E45"/>
    <w:rsid w:val="78815D6B"/>
    <w:rsid w:val="78866242"/>
    <w:rsid w:val="788B6276"/>
    <w:rsid w:val="78AC5356"/>
    <w:rsid w:val="78D02DFD"/>
    <w:rsid w:val="78E14A7C"/>
    <w:rsid w:val="78EC2E1F"/>
    <w:rsid w:val="79073CE5"/>
    <w:rsid w:val="792479D0"/>
    <w:rsid w:val="794B20BF"/>
    <w:rsid w:val="794F3F83"/>
    <w:rsid w:val="795B06AE"/>
    <w:rsid w:val="796E2148"/>
    <w:rsid w:val="79702962"/>
    <w:rsid w:val="79811D23"/>
    <w:rsid w:val="79854725"/>
    <w:rsid w:val="7987722E"/>
    <w:rsid w:val="79946495"/>
    <w:rsid w:val="799D42DA"/>
    <w:rsid w:val="79B2163A"/>
    <w:rsid w:val="79DB0610"/>
    <w:rsid w:val="7A071C83"/>
    <w:rsid w:val="7A505722"/>
    <w:rsid w:val="7A556340"/>
    <w:rsid w:val="7A764B78"/>
    <w:rsid w:val="7A771ECD"/>
    <w:rsid w:val="7A786568"/>
    <w:rsid w:val="7A7F3E71"/>
    <w:rsid w:val="7A7F502D"/>
    <w:rsid w:val="7A9126C4"/>
    <w:rsid w:val="7AAD2245"/>
    <w:rsid w:val="7AB21E46"/>
    <w:rsid w:val="7ABA2A2C"/>
    <w:rsid w:val="7AC94055"/>
    <w:rsid w:val="7ACE5710"/>
    <w:rsid w:val="7ADE0E8D"/>
    <w:rsid w:val="7AEC1A0D"/>
    <w:rsid w:val="7B170E51"/>
    <w:rsid w:val="7B1F547B"/>
    <w:rsid w:val="7B53625D"/>
    <w:rsid w:val="7B5A55C0"/>
    <w:rsid w:val="7B642B96"/>
    <w:rsid w:val="7BA24F07"/>
    <w:rsid w:val="7BAD4023"/>
    <w:rsid w:val="7BAE78E8"/>
    <w:rsid w:val="7BBF0A47"/>
    <w:rsid w:val="7BED75DA"/>
    <w:rsid w:val="7BF16588"/>
    <w:rsid w:val="7C0D1A2A"/>
    <w:rsid w:val="7C0F6ABF"/>
    <w:rsid w:val="7C391E51"/>
    <w:rsid w:val="7C517C83"/>
    <w:rsid w:val="7C5B57B9"/>
    <w:rsid w:val="7C690843"/>
    <w:rsid w:val="7C7E4D50"/>
    <w:rsid w:val="7C803460"/>
    <w:rsid w:val="7C91371D"/>
    <w:rsid w:val="7C9537CE"/>
    <w:rsid w:val="7CA23EBF"/>
    <w:rsid w:val="7CB07691"/>
    <w:rsid w:val="7CBB5D9A"/>
    <w:rsid w:val="7CEF1130"/>
    <w:rsid w:val="7CEF53DA"/>
    <w:rsid w:val="7CFC48A7"/>
    <w:rsid w:val="7CFC771D"/>
    <w:rsid w:val="7D2E243C"/>
    <w:rsid w:val="7D7D6E9D"/>
    <w:rsid w:val="7DDA381F"/>
    <w:rsid w:val="7DE8048D"/>
    <w:rsid w:val="7DE920A3"/>
    <w:rsid w:val="7DFF1827"/>
    <w:rsid w:val="7E163D6A"/>
    <w:rsid w:val="7E313494"/>
    <w:rsid w:val="7E42506E"/>
    <w:rsid w:val="7E4C6403"/>
    <w:rsid w:val="7E897C2A"/>
    <w:rsid w:val="7EA17387"/>
    <w:rsid w:val="7EA66495"/>
    <w:rsid w:val="7EA939E4"/>
    <w:rsid w:val="7EB4296F"/>
    <w:rsid w:val="7EBE23F0"/>
    <w:rsid w:val="7F094AC7"/>
    <w:rsid w:val="7F121367"/>
    <w:rsid w:val="7F132C5D"/>
    <w:rsid w:val="7F8D3F90"/>
    <w:rsid w:val="7FAA3AAC"/>
    <w:rsid w:val="7FAE1B78"/>
    <w:rsid w:val="7FED12CB"/>
    <w:rsid w:val="7FFFCB07"/>
    <w:rsid w:val="9FFF94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iPriority="99"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paragraph" w:styleId="4">
    <w:name w:val="heading 3"/>
    <w:basedOn w:val="1"/>
    <w:next w:val="1"/>
    <w:autoRedefine/>
    <w:qFormat/>
    <w:uiPriority w:val="0"/>
    <w:pPr>
      <w:widowControl/>
      <w:spacing w:before="100" w:beforeLines="0" w:beforeAutospacing="1" w:after="100" w:afterLines="0" w:afterAutospacing="1"/>
      <w:jc w:val="left"/>
      <w:outlineLvl w:val="2"/>
    </w:pPr>
    <w:rPr>
      <w:rFonts w:ascii="宋体" w:hAnsi="宋体" w:cs="宋体"/>
      <w:b/>
      <w:bCs/>
      <w:kern w:val="0"/>
      <w:sz w:val="27"/>
      <w:szCs w:val="27"/>
    </w:rPr>
  </w:style>
  <w:style w:type="character" w:default="1" w:styleId="25">
    <w:name w:val="Default Paragraph Font"/>
    <w:link w:val="26"/>
    <w:autoRedefine/>
    <w:qFormat/>
    <w:uiPriority w:val="0"/>
  </w:style>
  <w:style w:type="table" w:default="1" w:styleId="23">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5">
    <w:name w:val="table of authorities"/>
    <w:basedOn w:val="1"/>
    <w:next w:val="1"/>
    <w:autoRedefine/>
    <w:qFormat/>
    <w:uiPriority w:val="0"/>
    <w:pPr>
      <w:ind w:left="200" w:leftChars="200"/>
    </w:pPr>
    <w:rPr>
      <w:rFonts w:eastAsia="宋体" w:cs="Times New Roman"/>
      <w:szCs w:val="24"/>
    </w:rPr>
  </w:style>
  <w:style w:type="paragraph" w:styleId="6">
    <w:name w:val="Normal Indent"/>
    <w:basedOn w:val="1"/>
    <w:next w:val="1"/>
    <w:autoRedefine/>
    <w:qFormat/>
    <w:uiPriority w:val="0"/>
    <w:pPr>
      <w:ind w:firstLine="420" w:firstLineChars="200"/>
    </w:pPr>
    <w:rPr>
      <w:rFonts w:eastAsia="仿宋"/>
      <w:sz w:val="32"/>
    </w:rPr>
  </w:style>
  <w:style w:type="paragraph" w:styleId="7">
    <w:name w:val="index 6"/>
    <w:basedOn w:val="1"/>
    <w:next w:val="1"/>
    <w:autoRedefine/>
    <w:qFormat/>
    <w:uiPriority w:val="0"/>
    <w:pPr>
      <w:ind w:left="1000" w:leftChars="1000"/>
    </w:pPr>
  </w:style>
  <w:style w:type="paragraph" w:styleId="8">
    <w:name w:val="Body Text"/>
    <w:basedOn w:val="1"/>
    <w:next w:val="9"/>
    <w:autoRedefine/>
    <w:qFormat/>
    <w:uiPriority w:val="0"/>
    <w:pPr>
      <w:spacing w:after="120" w:afterLines="0" w:afterAutospacing="0"/>
    </w:pPr>
  </w:style>
  <w:style w:type="paragraph" w:styleId="9">
    <w:name w:val="Body Text First Indent"/>
    <w:basedOn w:val="8"/>
    <w:autoRedefine/>
    <w:qFormat/>
    <w:uiPriority w:val="0"/>
    <w:pPr>
      <w:spacing w:after="0" w:afterLines="0"/>
      <w:ind w:firstLine="420"/>
    </w:pPr>
    <w:rPr>
      <w:rFonts w:ascii="Times New Roman" w:hAnsi="Times New Roman"/>
      <w:sz w:val="32"/>
    </w:rPr>
  </w:style>
  <w:style w:type="paragraph" w:styleId="10">
    <w:name w:val="Body Text Indent"/>
    <w:basedOn w:val="1"/>
    <w:next w:val="6"/>
    <w:autoRedefine/>
    <w:qFormat/>
    <w:uiPriority w:val="0"/>
    <w:pPr>
      <w:ind w:firstLine="640" w:firstLineChars="200"/>
    </w:pPr>
    <w:rPr>
      <w:snapToGrid w:val="0"/>
      <w:kern w:val="0"/>
    </w:rPr>
  </w:style>
  <w:style w:type="paragraph" w:styleId="11">
    <w:name w:val="Plain Text"/>
    <w:basedOn w:val="1"/>
    <w:autoRedefine/>
    <w:qFormat/>
    <w:uiPriority w:val="0"/>
    <w:rPr>
      <w:rFonts w:ascii="宋体" w:hAnsi="Courier New" w:eastAsia="宋体" w:cs="Times New Roman"/>
      <w:szCs w:val="21"/>
    </w:rPr>
  </w:style>
  <w:style w:type="paragraph" w:styleId="12">
    <w:name w:val="Date"/>
    <w:basedOn w:val="1"/>
    <w:next w:val="1"/>
    <w:autoRedefine/>
    <w:qFormat/>
    <w:uiPriority w:val="0"/>
    <w:pPr>
      <w:ind w:left="100" w:leftChars="2500"/>
    </w:pPr>
  </w:style>
  <w:style w:type="paragraph" w:styleId="13">
    <w:name w:val="Body Text Indent 2"/>
    <w:basedOn w:val="1"/>
    <w:autoRedefine/>
    <w:qFormat/>
    <w:uiPriority w:val="0"/>
    <w:pPr>
      <w:spacing w:after="120" w:line="480" w:lineRule="auto"/>
      <w:ind w:left="420" w:leftChars="200"/>
    </w:pPr>
  </w:style>
  <w:style w:type="paragraph" w:styleId="14">
    <w:name w:val="endnote text"/>
    <w:basedOn w:val="1"/>
    <w:autoRedefine/>
    <w:unhideWhenUsed/>
    <w:qFormat/>
    <w:uiPriority w:val="99"/>
    <w:pPr>
      <w:snapToGrid w:val="0"/>
      <w:jc w:val="left"/>
    </w:pPr>
  </w:style>
  <w:style w:type="paragraph" w:styleId="15">
    <w:name w:val="Balloon Text"/>
    <w:basedOn w:val="1"/>
    <w:autoRedefine/>
    <w:qFormat/>
    <w:uiPriority w:val="0"/>
    <w:rPr>
      <w:sz w:val="18"/>
      <w:szCs w:val="18"/>
    </w:rPr>
  </w:style>
  <w:style w:type="paragraph" w:styleId="16">
    <w:name w:val="footer"/>
    <w:basedOn w:val="1"/>
    <w:autoRedefine/>
    <w:qFormat/>
    <w:uiPriority w:val="0"/>
    <w:pPr>
      <w:tabs>
        <w:tab w:val="center" w:pos="4153"/>
        <w:tab w:val="right" w:pos="8306"/>
      </w:tabs>
      <w:snapToGrid w:val="0"/>
      <w:jc w:val="left"/>
    </w:pPr>
    <w:rPr>
      <w:sz w:val="18"/>
      <w:szCs w:val="18"/>
    </w:rPr>
  </w:style>
  <w:style w:type="paragraph" w:styleId="1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8">
    <w:name w:val="Subtitle"/>
    <w:basedOn w:val="1"/>
    <w:next w:val="1"/>
    <w:autoRedefine/>
    <w:qFormat/>
    <w:uiPriority w:val="0"/>
    <w:pPr>
      <w:spacing w:line="700" w:lineRule="exact"/>
      <w:jc w:val="center"/>
      <w:outlineLvl w:val="1"/>
    </w:pPr>
    <w:rPr>
      <w:rFonts w:ascii="Arial" w:hAnsi="Arial" w:eastAsia="方正小标宋简体" w:cs="Arial"/>
      <w:b/>
      <w:bCs/>
      <w:kern w:val="28"/>
      <w:sz w:val="44"/>
      <w:szCs w:val="44"/>
    </w:rPr>
  </w:style>
  <w:style w:type="paragraph" w:styleId="19">
    <w:name w:val="footnote text"/>
    <w:basedOn w:val="1"/>
    <w:autoRedefine/>
    <w:unhideWhenUsed/>
    <w:qFormat/>
    <w:uiPriority w:val="99"/>
    <w:pPr>
      <w:snapToGrid w:val="0"/>
      <w:jc w:val="left"/>
    </w:pPr>
    <w:rPr>
      <w:rFonts w:ascii="Times New Roman" w:hAnsi="Times New Roman" w:eastAsia="宋体" w:cs="Times New Roman"/>
      <w:sz w:val="18"/>
      <w:szCs w:val="18"/>
    </w:rPr>
  </w:style>
  <w:style w:type="paragraph" w:styleId="20">
    <w:name w:val="Normal (Web)"/>
    <w:basedOn w:val="1"/>
    <w:autoRedefine/>
    <w:qFormat/>
    <w:uiPriority w:val="0"/>
    <w:pPr>
      <w:widowControl/>
      <w:spacing w:before="100" w:beforeLines="0" w:beforeAutospacing="1" w:after="100" w:afterLines="0" w:afterAutospacing="1"/>
      <w:jc w:val="left"/>
    </w:pPr>
    <w:rPr>
      <w:rFonts w:ascii="宋体" w:hAnsi="宋体" w:cs="宋体"/>
      <w:kern w:val="0"/>
      <w:sz w:val="24"/>
    </w:rPr>
  </w:style>
  <w:style w:type="paragraph" w:styleId="21">
    <w:name w:val="Title"/>
    <w:basedOn w:val="1"/>
    <w:next w:val="1"/>
    <w:autoRedefine/>
    <w:qFormat/>
    <w:uiPriority w:val="0"/>
    <w:pPr>
      <w:spacing w:before="240" w:beforeLines="0" w:after="60" w:afterLines="0" w:line="640" w:lineRule="exact"/>
      <w:jc w:val="center"/>
      <w:outlineLvl w:val="0"/>
    </w:pPr>
    <w:rPr>
      <w:rFonts w:ascii="Cambria" w:hAnsi="Cambria" w:eastAsia="方正小标宋简体" w:cs="Times New Roman"/>
      <w:sz w:val="44"/>
      <w:szCs w:val="44"/>
    </w:rPr>
  </w:style>
  <w:style w:type="paragraph" w:styleId="22">
    <w:name w:val="Body Text First Indent 2"/>
    <w:basedOn w:val="10"/>
    <w:next w:val="1"/>
    <w:autoRedefine/>
    <w:qFormat/>
    <w:uiPriority w:val="0"/>
    <w:pPr>
      <w:ind w:firstLine="420"/>
    </w:pPr>
    <w:rPr>
      <w:rFonts w:ascii="Calibri" w:hAnsi="Calibri"/>
    </w:rPr>
  </w:style>
  <w:style w:type="table" w:styleId="24">
    <w:name w:val="Table Grid"/>
    <w:basedOn w:val="2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
    <w:name w:val="Char Char Char Char Char Char Char Char Char Char Char Char Char Char Char Char Char Char Char Char Char Char Char Char Char Char Char Char Char Char Char Char Char"/>
    <w:basedOn w:val="1"/>
    <w:link w:val="25"/>
    <w:autoRedefine/>
    <w:qFormat/>
    <w:uiPriority w:val="0"/>
    <w:pPr>
      <w:widowControl/>
      <w:spacing w:after="160" w:afterLines="0" w:line="240" w:lineRule="exact"/>
      <w:jc w:val="left"/>
    </w:pPr>
  </w:style>
  <w:style w:type="character" w:styleId="27">
    <w:name w:val="Strong"/>
    <w:basedOn w:val="25"/>
    <w:autoRedefine/>
    <w:qFormat/>
    <w:uiPriority w:val="0"/>
    <w:rPr>
      <w:b/>
      <w:bCs/>
    </w:rPr>
  </w:style>
  <w:style w:type="character" w:styleId="28">
    <w:name w:val="page number"/>
    <w:basedOn w:val="25"/>
    <w:autoRedefine/>
    <w:qFormat/>
    <w:uiPriority w:val="0"/>
  </w:style>
  <w:style w:type="character" w:styleId="29">
    <w:name w:val="FollowedHyperlink"/>
    <w:basedOn w:val="25"/>
    <w:autoRedefine/>
    <w:qFormat/>
    <w:uiPriority w:val="0"/>
    <w:rPr>
      <w:color w:val="800080"/>
      <w:u w:val="single"/>
    </w:rPr>
  </w:style>
  <w:style w:type="character" w:styleId="30">
    <w:name w:val="Emphasis"/>
    <w:basedOn w:val="25"/>
    <w:autoRedefine/>
    <w:qFormat/>
    <w:uiPriority w:val="0"/>
    <w:rPr>
      <w:i/>
    </w:rPr>
  </w:style>
  <w:style w:type="character" w:styleId="31">
    <w:name w:val="Hyperlink"/>
    <w:basedOn w:val="25"/>
    <w:autoRedefine/>
    <w:qFormat/>
    <w:uiPriority w:val="0"/>
    <w:rPr>
      <w:color w:val="0000FF"/>
      <w:u w:val="single"/>
    </w:rPr>
  </w:style>
  <w:style w:type="paragraph" w:customStyle="1" w:styleId="32">
    <w:name w:val="纯文本1"/>
    <w:autoRedefine/>
    <w:qFormat/>
    <w:uiPriority w:val="0"/>
    <w:pPr>
      <w:widowControl w:val="0"/>
      <w:ind w:firstLine="964" w:firstLineChars="200"/>
      <w:jc w:val="both"/>
    </w:pPr>
    <w:rPr>
      <w:rFonts w:ascii="宋体" w:hAnsi="宋体" w:eastAsia="仿宋" w:cs="Times New Roman"/>
      <w:kern w:val="2"/>
      <w:sz w:val="21"/>
      <w:szCs w:val="24"/>
      <w:lang w:val="en-US" w:eastAsia="zh-CN" w:bidi="ar-SA"/>
    </w:rPr>
  </w:style>
  <w:style w:type="paragraph" w:customStyle="1" w:styleId="33">
    <w:name w:val="Heading2"/>
    <w:basedOn w:val="1"/>
    <w:next w:val="1"/>
    <w:autoRedefine/>
    <w:qFormat/>
    <w:uiPriority w:val="0"/>
    <w:pPr>
      <w:keepNext/>
      <w:keepLines/>
      <w:spacing w:line="600" w:lineRule="exact"/>
    </w:pPr>
    <w:rPr>
      <w:rFonts w:ascii="Arial" w:hAnsi="Arial"/>
    </w:rPr>
  </w:style>
  <w:style w:type="paragraph" w:customStyle="1" w:styleId="34">
    <w:name w:val="样式 标题 1 + 首行缩进:  2 字符"/>
    <w:basedOn w:val="2"/>
    <w:autoRedefine/>
    <w:qFormat/>
    <w:uiPriority w:val="0"/>
    <w:pPr>
      <w:spacing w:line="240" w:lineRule="auto"/>
      <w:ind w:firstLine="200" w:firstLineChars="200"/>
      <w:jc w:val="center"/>
    </w:pPr>
    <w:rPr>
      <w:rFonts w:eastAsia="黑体" w:cs="宋体"/>
      <w:b w:val="0"/>
      <w:sz w:val="30"/>
      <w:szCs w:val="20"/>
    </w:rPr>
  </w:style>
  <w:style w:type="paragraph" w:customStyle="1" w:styleId="35">
    <w:name w:val="PlainText"/>
    <w:autoRedefine/>
    <w:qFormat/>
    <w:uiPriority w:val="99"/>
    <w:pPr>
      <w:widowControl w:val="0"/>
      <w:ind w:firstLine="964" w:firstLineChars="200"/>
      <w:jc w:val="both"/>
      <w:textAlignment w:val="baseline"/>
    </w:pPr>
    <w:rPr>
      <w:rFonts w:ascii="宋体" w:hAnsi="宋体" w:eastAsia="仿宋" w:cs="Times New Roman"/>
      <w:kern w:val="2"/>
      <w:sz w:val="21"/>
      <w:szCs w:val="24"/>
      <w:lang w:val="en-US" w:eastAsia="zh-CN" w:bidi="ar-SA"/>
    </w:rPr>
  </w:style>
  <w:style w:type="paragraph" w:customStyle="1" w:styleId="36">
    <w:name w:val="Normal Indent1"/>
    <w:basedOn w:val="1"/>
    <w:autoRedefine/>
    <w:qFormat/>
    <w:uiPriority w:val="0"/>
    <w:pPr>
      <w:ind w:firstLine="420" w:firstLineChars="200"/>
    </w:pPr>
    <w:rPr>
      <w:rFonts w:eastAsia="仿宋"/>
      <w:sz w:val="32"/>
    </w:rPr>
  </w:style>
  <w:style w:type="paragraph" w:customStyle="1" w:styleId="37">
    <w:name w:val="正文首行缩进1"/>
    <w:autoRedefine/>
    <w:qFormat/>
    <w:uiPriority w:val="0"/>
    <w:pPr>
      <w:widowControl w:val="0"/>
      <w:spacing w:after="120" w:line="360" w:lineRule="auto"/>
      <w:jc w:val="both"/>
    </w:pPr>
    <w:rPr>
      <w:rFonts w:ascii="Times New Roman" w:hAnsi="Times New Roman" w:eastAsia="宋体" w:cs="Times New Roman"/>
      <w:kern w:val="2"/>
      <w:sz w:val="21"/>
      <w:szCs w:val="24"/>
      <w:lang w:val="en-US" w:eastAsia="zh-CN" w:bidi="ar-SA"/>
    </w:rPr>
  </w:style>
  <w:style w:type="paragraph" w:customStyle="1" w:styleId="38">
    <w:name w:val="正文-公1"/>
    <w:basedOn w:val="1"/>
    <w:next w:val="1"/>
    <w:autoRedefine/>
    <w:qFormat/>
    <w:uiPriority w:val="0"/>
    <w:pPr>
      <w:ind w:firstLine="200" w:firstLineChars="200"/>
      <w:jc w:val="left"/>
    </w:pPr>
    <w:rPr>
      <w:rFonts w:eastAsia="仿宋_GB2312"/>
    </w:rPr>
  </w:style>
  <w:style w:type="character" w:customStyle="1" w:styleId="39">
    <w:name w:val="font01"/>
    <w:basedOn w:val="25"/>
    <w:autoRedefine/>
    <w:qFormat/>
    <w:uiPriority w:val="0"/>
    <w:rPr>
      <w:rFonts w:hint="default" w:ascii="Arial" w:hAnsi="Arial" w:cs="Arial"/>
      <w:color w:val="000000"/>
      <w:sz w:val="20"/>
      <w:szCs w:val="20"/>
      <w:u w:val="none"/>
    </w:rPr>
  </w:style>
  <w:style w:type="character" w:customStyle="1" w:styleId="40">
    <w:name w:val="font71"/>
    <w:basedOn w:val="25"/>
    <w:autoRedefine/>
    <w:qFormat/>
    <w:uiPriority w:val="0"/>
    <w:rPr>
      <w:rFonts w:hint="eastAsia" w:ascii="宋体" w:hAnsi="宋体" w:eastAsia="宋体" w:cs="宋体"/>
      <w:color w:val="000000"/>
      <w:sz w:val="20"/>
      <w:szCs w:val="20"/>
      <w:u w:val="none"/>
    </w:rPr>
  </w:style>
  <w:style w:type="character" w:customStyle="1" w:styleId="41">
    <w:name w:val="NormalCharacter"/>
    <w:autoRedefine/>
    <w:qFormat/>
    <w:uiPriority w:val="0"/>
    <w:rPr>
      <w:rFonts w:eastAsia="宋体"/>
      <w:kern w:val="2"/>
      <w:sz w:val="21"/>
      <w:szCs w:val="24"/>
      <w:lang w:val="en-US" w:eastAsia="zh-CN" w:bidi="ar-SA"/>
    </w:rPr>
  </w:style>
  <w:style w:type="character" w:customStyle="1" w:styleId="42">
    <w:name w:val="16"/>
    <w:basedOn w:val="25"/>
    <w:autoRedefine/>
    <w:qFormat/>
    <w:uiPriority w:val="0"/>
    <w:rPr>
      <w:rFonts w:hint="default" w:ascii="Times New Roman" w:hAnsi="Times New Roman" w:cs="Times New Roman"/>
      <w:color w:val="0000FF"/>
      <w:u w:val="single"/>
    </w:rPr>
  </w:style>
  <w:style w:type="character" w:customStyle="1" w:styleId="43">
    <w:name w:val="font11"/>
    <w:basedOn w:val="25"/>
    <w:autoRedefine/>
    <w:qFormat/>
    <w:uiPriority w:val="0"/>
    <w:rPr>
      <w:rFonts w:hint="eastAsia" w:ascii="宋体" w:hAnsi="宋体" w:eastAsia="宋体" w:cs="宋体"/>
      <w:color w:val="000000"/>
      <w:sz w:val="20"/>
      <w:szCs w:val="20"/>
      <w:u w:val="none"/>
    </w:rPr>
  </w:style>
  <w:style w:type="paragraph" w:customStyle="1" w:styleId="44">
    <w:name w:val="Body text|1"/>
    <w:basedOn w:val="1"/>
    <w:autoRedefine/>
    <w:qFormat/>
    <w:uiPriority w:val="0"/>
    <w:pPr>
      <w:widowControl w:val="0"/>
      <w:shd w:val="clear" w:color="auto" w:fill="auto"/>
      <w:spacing w:line="382" w:lineRule="auto"/>
      <w:ind w:firstLine="400"/>
    </w:pPr>
    <w:rPr>
      <w:rFonts w:ascii="宋体" w:hAnsi="宋体" w:eastAsia="宋体" w:cs="宋体"/>
      <w:sz w:val="30"/>
      <w:szCs w:val="30"/>
      <w:u w:val="none"/>
      <w:shd w:val="clear" w:color="auto" w:fill="auto"/>
      <w:lang w:val="zh-TW" w:eastAsia="zh-TW" w:bidi="zh-TW"/>
    </w:rPr>
  </w:style>
  <w:style w:type="paragraph" w:customStyle="1" w:styleId="45">
    <w:name w:val="BodyTextIndent"/>
    <w:basedOn w:val="1"/>
    <w:next w:val="46"/>
    <w:autoRedefine/>
    <w:qFormat/>
    <w:uiPriority w:val="0"/>
    <w:pPr>
      <w:spacing w:line="560" w:lineRule="atLeast"/>
      <w:ind w:firstLine="640" w:firstLineChars="200"/>
      <w:textAlignment w:val="baseline"/>
    </w:pPr>
    <w:rPr>
      <w:rFonts w:ascii="Calibri" w:hAnsi="Calibri" w:eastAsia="宋体"/>
      <w:kern w:val="0"/>
    </w:rPr>
  </w:style>
  <w:style w:type="paragraph" w:customStyle="1" w:styleId="46">
    <w:name w:val="NormalIndent"/>
    <w:basedOn w:val="1"/>
    <w:autoRedefine/>
    <w:qFormat/>
    <w:uiPriority w:val="0"/>
    <w:pPr>
      <w:spacing w:line="560" w:lineRule="atLeast"/>
      <w:ind w:firstLine="420" w:firstLineChars="200"/>
      <w:textAlignment w:val="baseline"/>
    </w:pPr>
    <w:rPr>
      <w:rFonts w:ascii="Calibri" w:hAnsi="Calibri" w:eastAsia="仿宋"/>
      <w:sz w:val="32"/>
      <w:szCs w:val="22"/>
    </w:rPr>
  </w:style>
  <w:style w:type="paragraph" w:customStyle="1" w:styleId="47">
    <w:name w:val="Other|2"/>
    <w:basedOn w:val="1"/>
    <w:autoRedefine/>
    <w:qFormat/>
    <w:uiPriority w:val="0"/>
    <w:pPr>
      <w:widowControl w:val="0"/>
      <w:shd w:val="clear" w:color="auto" w:fill="auto"/>
    </w:pPr>
    <w:rPr>
      <w:rFonts w:ascii="宋体" w:hAnsi="宋体" w:eastAsia="宋体" w:cs="宋体"/>
      <w:u w:val="none"/>
      <w:shd w:val="clear" w:color="auto" w:fill="auto"/>
      <w:lang w:val="zh-TW" w:eastAsia="zh-TW" w:bidi="zh-TW"/>
    </w:rPr>
  </w:style>
  <w:style w:type="paragraph" w:customStyle="1" w:styleId="48">
    <w:name w:val="BodyText1I2"/>
    <w:basedOn w:val="45"/>
    <w:autoRedefine/>
    <w:qFormat/>
    <w:uiPriority w:val="0"/>
    <w:pPr>
      <w:ind w:firstLine="420"/>
    </w:pPr>
  </w:style>
  <w:style w:type="paragraph" w:customStyle="1" w:styleId="49">
    <w:name w:val="样式1"/>
    <w:basedOn w:val="1"/>
    <w:autoRedefine/>
    <w:qFormat/>
    <w:uiPriority w:val="0"/>
    <w:pPr>
      <w:spacing w:line="341" w:lineRule="auto"/>
    </w:pPr>
    <w:rPr>
      <w:rFonts w:eastAsia="仿宋_GB2312"/>
      <w:spacing w:val="-6"/>
      <w:sz w:val="32"/>
      <w:szCs w:val="32"/>
    </w:rPr>
  </w:style>
  <w:style w:type="paragraph" w:customStyle="1" w:styleId="50">
    <w:name w:val="Header or footer|2"/>
    <w:basedOn w:val="1"/>
    <w:autoRedefine/>
    <w:qFormat/>
    <w:uiPriority w:val="0"/>
    <w:pPr>
      <w:widowControl w:val="0"/>
      <w:shd w:val="clear" w:color="auto" w:fill="auto"/>
    </w:pPr>
    <w:rPr>
      <w:sz w:val="20"/>
      <w:szCs w:val="20"/>
      <w:u w:val="none"/>
      <w:shd w:val="clear" w:color="auto" w:fill="auto"/>
      <w:lang w:val="zh-TW" w:eastAsia="zh-TW" w:bidi="zh-TW"/>
    </w:rPr>
  </w:style>
  <w:style w:type="paragraph" w:customStyle="1" w:styleId="51">
    <w:name w:val="Other|1"/>
    <w:basedOn w:val="1"/>
    <w:autoRedefine/>
    <w:qFormat/>
    <w:uiPriority w:val="0"/>
    <w:pPr>
      <w:widowControl w:val="0"/>
      <w:shd w:val="clear" w:color="auto" w:fill="auto"/>
      <w:spacing w:line="425" w:lineRule="auto"/>
      <w:ind w:firstLine="400"/>
    </w:pPr>
    <w:rPr>
      <w:rFonts w:ascii="宋体" w:hAnsi="宋体" w:eastAsia="宋体" w:cs="宋体"/>
      <w:sz w:val="30"/>
      <w:szCs w:val="30"/>
      <w:u w:val="none"/>
      <w:shd w:val="clear" w:color="auto" w:fill="auto"/>
      <w:lang w:val="zh-TW" w:eastAsia="zh-TW" w:bidi="zh-TW"/>
    </w:rPr>
  </w:style>
  <w:style w:type="paragraph" w:customStyle="1" w:styleId="52">
    <w:name w:val="普通(网站)2"/>
    <w:basedOn w:val="1"/>
    <w:autoRedefine/>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customStyle="1" w:styleId="53">
    <w:name w:val="p0"/>
    <w:basedOn w:val="1"/>
    <w:autoRedefine/>
    <w:qFormat/>
    <w:uiPriority w:val="0"/>
    <w:pPr>
      <w:widowControl/>
    </w:pPr>
    <w:rPr>
      <w:rFonts w:eastAsia="宋体"/>
      <w:kern w:val="0"/>
      <w:szCs w:val="32"/>
    </w:rPr>
  </w:style>
  <w:style w:type="paragraph" w:customStyle="1" w:styleId="54">
    <w:name w:val="List Paragraph"/>
    <w:basedOn w:val="1"/>
    <w:autoRedefine/>
    <w:qFormat/>
    <w:uiPriority w:val="34"/>
    <w:pPr>
      <w:ind w:firstLine="420" w:firstLineChars="200"/>
    </w:pPr>
  </w:style>
  <w:style w:type="paragraph" w:customStyle="1" w:styleId="55">
    <w:name w:val="Heading #1|1"/>
    <w:basedOn w:val="1"/>
    <w:autoRedefine/>
    <w:qFormat/>
    <w:uiPriority w:val="0"/>
    <w:pPr>
      <w:widowControl w:val="0"/>
      <w:shd w:val="clear" w:color="auto" w:fill="auto"/>
      <w:spacing w:after="580" w:line="562" w:lineRule="exact"/>
      <w:jc w:val="center"/>
      <w:outlineLvl w:val="0"/>
    </w:pPr>
    <w:rPr>
      <w:rFonts w:ascii="宋体" w:hAnsi="宋体" w:eastAsia="宋体" w:cs="宋体"/>
      <w:sz w:val="42"/>
      <w:szCs w:val="42"/>
      <w:u w:val="none"/>
      <w:shd w:val="clear" w:color="auto" w:fill="auto"/>
      <w:lang w:val="zh-TW" w:eastAsia="zh-TW" w:bidi="zh-TW"/>
    </w:rPr>
  </w:style>
  <w:style w:type="character" w:customStyle="1" w:styleId="56">
    <w:name w:val="font51"/>
    <w:basedOn w:val="25"/>
    <w:autoRedefine/>
    <w:qFormat/>
    <w:uiPriority w:val="0"/>
    <w:rPr>
      <w:rFonts w:hint="eastAsia" w:ascii="仿宋_GB2312" w:eastAsia="仿宋_GB2312" w:cs="仿宋_GB2312"/>
      <w:color w:val="000000"/>
      <w:sz w:val="22"/>
      <w:szCs w:val="22"/>
      <w:u w:val="none"/>
    </w:rPr>
  </w:style>
  <w:style w:type="paragraph" w:customStyle="1" w:styleId="57">
    <w:name w:val="Char2 Char Char Char"/>
    <w:basedOn w:val="1"/>
    <w:autoRedefine/>
    <w:qFormat/>
    <w:uiPriority w:val="0"/>
    <w:pPr>
      <w:widowControl/>
      <w:spacing w:after="160" w:line="240" w:lineRule="exact"/>
      <w:jc w:val="left"/>
    </w:pPr>
    <w:rPr>
      <w:sz w:val="21"/>
      <w:szCs w:val="22"/>
    </w:rPr>
  </w:style>
  <w:style w:type="character" w:customStyle="1" w:styleId="58">
    <w:name w:val="15"/>
    <w:basedOn w:val="25"/>
    <w:autoRedefine/>
    <w:qFormat/>
    <w:uiPriority w:val="0"/>
    <w:rPr>
      <w:rFonts w:ascii="????_GBK" w:hAnsi="????_GBK" w:cs="????_GBK"/>
      <w:sz w:val="32"/>
      <w:szCs w:val="32"/>
    </w:rPr>
  </w:style>
  <w:style w:type="paragraph" w:customStyle="1" w:styleId="59">
    <w:name w:val="Header or footer|1"/>
    <w:basedOn w:val="1"/>
    <w:autoRedefine/>
    <w:qFormat/>
    <w:uiPriority w:val="0"/>
    <w:pPr>
      <w:widowControl w:val="0"/>
      <w:shd w:val="clear" w:color="auto" w:fill="auto"/>
    </w:pPr>
    <w:rPr>
      <w:u w:val="none"/>
      <w:shd w:val="clear" w:color="auto" w:fill="auto"/>
      <w:lang w:val="zh-TW" w:eastAsia="zh-TW" w:bidi="zh-TW"/>
    </w:rPr>
  </w:style>
  <w:style w:type="paragraph" w:customStyle="1" w:styleId="60">
    <w:name w:val="Table caption|1"/>
    <w:basedOn w:val="1"/>
    <w:autoRedefine/>
    <w:qFormat/>
    <w:uiPriority w:val="0"/>
    <w:pPr>
      <w:widowControl w:val="0"/>
      <w:shd w:val="clear" w:color="auto" w:fill="auto"/>
    </w:pPr>
    <w:rPr>
      <w:rFonts w:ascii="宋体" w:hAnsi="宋体" w:eastAsia="宋体" w:cs="宋体"/>
      <w:sz w:val="26"/>
      <w:szCs w:val="26"/>
      <w:u w:val="none"/>
      <w:shd w:val="clear" w:color="auto" w:fill="auto"/>
      <w:lang w:val="zh-TW" w:eastAsia="zh-TW" w:bidi="zh-TW"/>
    </w:rPr>
  </w:style>
  <w:style w:type="paragraph" w:customStyle="1" w:styleId="61">
    <w:name w:val="Normal"/>
    <w:autoRedefine/>
    <w:qFormat/>
    <w:uiPriority w:val="0"/>
    <w:pPr>
      <w:jc w:val="both"/>
    </w:pPr>
    <w:rPr>
      <w:rFonts w:ascii="Times New Roman" w:hAnsi="Times New Roman" w:eastAsia="宋体" w:cs="Times New Roman"/>
      <w:kern w:val="2"/>
      <w:sz w:val="21"/>
      <w:szCs w:val="21"/>
      <w:lang w:val="en-US" w:eastAsia="zh-CN" w:bidi="ar-SA"/>
    </w:rPr>
  </w:style>
  <w:style w:type="table" w:customStyle="1" w:styleId="62">
    <w:name w:val="Table Normal"/>
    <w:autoRedefine/>
    <w:unhideWhenUsed/>
    <w:qFormat/>
    <w:uiPriority w:val="0"/>
    <w:tblPr>
      <w:tblCellMar>
        <w:top w:w="0" w:type="dxa"/>
        <w:left w:w="0" w:type="dxa"/>
        <w:bottom w:w="0" w:type="dxa"/>
        <w:right w:w="0" w:type="dxa"/>
      </w:tblCellMar>
    </w:tblPr>
  </w:style>
  <w:style w:type="paragraph" w:customStyle="1" w:styleId="63">
    <w:name w:val="正文文本首行缩进 21"/>
    <w:basedOn w:val="10"/>
    <w:next w:val="1"/>
    <w:autoRedefine/>
    <w:qFormat/>
    <w:uiPriority w:val="0"/>
    <w:pPr>
      <w:ind w:firstLine="420"/>
    </w:pPr>
  </w:style>
  <w:style w:type="paragraph" w:customStyle="1" w:styleId="64">
    <w:name w:val=" Char Char Char Char"/>
    <w:basedOn w:val="1"/>
    <w:autoRedefine/>
    <w:qFormat/>
    <w:uiPriority w:val="0"/>
  </w:style>
  <w:style w:type="paragraph" w:customStyle="1" w:styleId="65">
    <w:name w:val="Table Paragraph"/>
    <w:basedOn w:val="1"/>
    <w:autoRedefine/>
    <w:qFormat/>
    <w:uiPriority w:val="1"/>
    <w:rPr>
      <w:rFonts w:ascii="宋体" w:hAnsi="宋体" w:eastAsia="宋体" w:cs="宋体"/>
    </w:rPr>
  </w:style>
  <w:style w:type="paragraph" w:customStyle="1" w:styleId="66">
    <w:name w:val="Body Text First Indent 2"/>
    <w:basedOn w:val="1"/>
    <w:autoRedefine/>
    <w:qFormat/>
    <w:uiPriority w:val="0"/>
    <w:pPr>
      <w:ind w:left="420" w:leftChars="200" w:firstLine="420" w:firstLineChars="200"/>
    </w:pPr>
    <w:rPr>
      <w:rFonts w:ascii="Calibri" w:hAnsi="Calibri" w:eastAsia="宋体"/>
      <w:sz w:val="21"/>
      <w:szCs w:val="22"/>
    </w:rPr>
  </w:style>
  <w:style w:type="paragraph" w:customStyle="1" w:styleId="67">
    <w:name w:val="正文首行缩进 21"/>
    <w:basedOn w:val="1"/>
    <w:autoRedefine/>
    <w:qFormat/>
    <w:uiPriority w:val="99"/>
    <w:pPr>
      <w:ind w:left="420" w:leftChars="200" w:firstLine="210"/>
    </w:pPr>
  </w:style>
  <w:style w:type="paragraph" w:customStyle="1" w:styleId="68">
    <w:name w:val="Heading #2|1"/>
    <w:basedOn w:val="1"/>
    <w:autoRedefine/>
    <w:qFormat/>
    <w:uiPriority w:val="99"/>
    <w:pPr>
      <w:spacing w:after="480" w:line="590" w:lineRule="exact"/>
      <w:jc w:val="center"/>
      <w:outlineLvl w:val="1"/>
    </w:pPr>
    <w:rPr>
      <w:rFonts w:ascii="宋体" w:hAnsi="宋体" w:cs="宋体"/>
      <w:sz w:val="42"/>
      <w:szCs w:val="42"/>
      <w:lang w:val="zh-TW" w:eastAsia="zh-TW"/>
    </w:rPr>
  </w:style>
  <w:style w:type="paragraph" w:customStyle="1" w:styleId="69">
    <w:name w:val="Default"/>
    <w:autoRedefine/>
    <w:qFormat/>
    <w:uiPriority w:val="0"/>
    <w:pPr>
      <w:widowControl w:val="0"/>
      <w:autoSpaceDE w:val="0"/>
      <w:autoSpaceDN w:val="0"/>
      <w:adjustRightInd w:val="0"/>
      <w:jc w:val="both"/>
    </w:pPr>
    <w:rPr>
      <w:rFonts w:ascii="Calibri" w:hAnsi="Calibri" w:eastAsia="仿宋_GB2312" w:cs="Times New Roman"/>
      <w:color w:val="000000"/>
      <w:sz w:val="24"/>
      <w:szCs w:val="24"/>
      <w:lang w:val="en-US" w:eastAsia="zh-CN" w:bidi="ar-SA"/>
    </w:rPr>
  </w:style>
  <w:style w:type="paragraph" w:customStyle="1" w:styleId="70">
    <w:name w:val="样式 行距: 固定值 28.9 磅"/>
    <w:basedOn w:val="1"/>
    <w:autoRedefine/>
    <w:qFormat/>
    <w:uiPriority w:val="0"/>
    <w:pPr>
      <w:spacing w:line="578" w:lineRule="exact"/>
    </w:pPr>
    <w:rPr>
      <w:rFonts w:ascii="Times New Roman" w:hAnsi="Times New Roman" w:eastAsia="宋体" w:cs="Times New Roman"/>
    </w:rPr>
  </w:style>
  <w:style w:type="character" w:customStyle="1" w:styleId="71">
    <w:name w:val="font61"/>
    <w:basedOn w:val="25"/>
    <w:autoRedefine/>
    <w:qFormat/>
    <w:uiPriority w:val="0"/>
    <w:rPr>
      <w:rFonts w:hint="default" w:ascii="CESI仿宋-GB2312" w:hAnsi="CESI仿宋-GB2312" w:eastAsia="CESI仿宋-GB2312" w:cs="CESI仿宋-GB2312"/>
      <w:color w:val="000000"/>
      <w:sz w:val="24"/>
      <w:szCs w:val="24"/>
      <w:u w:val="none"/>
    </w:rPr>
  </w:style>
  <w:style w:type="paragraph" w:customStyle="1" w:styleId="72">
    <w:name w:val="Table Text"/>
    <w:basedOn w:val="1"/>
    <w:autoRedefine/>
    <w:semiHidden/>
    <w:qFormat/>
    <w:uiPriority w:val="0"/>
    <w:rPr>
      <w:rFonts w:ascii="宋体" w:hAnsi="宋体" w:eastAsia="宋体" w:cs="宋体"/>
      <w:sz w:val="21"/>
      <w:szCs w:val="21"/>
      <w:lang w:val="en-US" w:eastAsia="en-US" w:bidi="ar-SA"/>
    </w:rPr>
  </w:style>
  <w:style w:type="paragraph" w:customStyle="1" w:styleId="73">
    <w:name w:val="二级条标题"/>
    <w:autoRedefine/>
    <w:qFormat/>
    <w:uiPriority w:val="99"/>
    <w:pPr>
      <w:spacing w:before="50" w:after="50"/>
      <w:outlineLvl w:val="3"/>
    </w:pPr>
    <w:rPr>
      <w:rFonts w:ascii="Calibri" w:hAnsi="Calibri" w:eastAsia="宋体" w:cs="Times New Roman"/>
      <w:lang w:val="en-US" w:eastAsia="zh-CN" w:bidi="ar-SA"/>
    </w:rPr>
  </w:style>
  <w:style w:type="character" w:customStyle="1" w:styleId="74">
    <w:name w:val="font41"/>
    <w:basedOn w:val="25"/>
    <w:autoRedefine/>
    <w:qFormat/>
    <w:uiPriority w:val="0"/>
    <w:rPr>
      <w:rFonts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12</Pages>
  <Words>2828</Words>
  <Characters>2900</Characters>
  <Lines>0</Lines>
  <Paragraphs>0</Paragraphs>
  <TotalTime>21</TotalTime>
  <ScaleCrop>false</ScaleCrop>
  <LinksUpToDate>false</LinksUpToDate>
  <CharactersWithSpaces>2919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2021-12-14T16:12:00Z</dcterms:created>
  <dc:creator>cloud</dc:creator>
  <cp:lastModifiedBy>尧</cp:lastModifiedBy>
  <cp:lastPrinted>2024-04-18T08:52:00Z</cp:lastPrinted>
  <dcterms:modified xsi:type="dcterms:W3CDTF">2024-04-30T02:54:44Z</dcterms:modified>
  <dc:title>全国城镇燃气安全专项整治工作方案</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1B4BE62C866342C5AD7CF146D0564AAE_13</vt:lpwstr>
  </property>
  <property fmtid="{D5CDD505-2E9C-101B-9397-08002B2CF9AE}" pid="4" name="KSOSaveFontToCloudKey">
    <vt:lpwstr>334636864_btnclosed</vt:lpwstr>
  </property>
</Properties>
</file>