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C29844">
      <w:pPr>
        <w:keepNext w:val="0"/>
        <w:keepLines w:val="0"/>
        <w:pageBreakBefore w:val="0"/>
        <w:widowControl w:val="0"/>
        <w:kinsoku/>
        <w:wordWrap/>
        <w:overflowPunct/>
        <w:topLinePunct w:val="0"/>
        <w:autoSpaceDE/>
        <w:autoSpaceDN w:val="0"/>
        <w:bidi w:val="0"/>
        <w:adjustRightInd w:val="0"/>
        <w:snapToGrid w:val="0"/>
        <w:spacing w:line="600" w:lineRule="exact"/>
        <w:jc w:val="center"/>
        <w:textAlignment w:val="auto"/>
        <w:rPr>
          <w:rFonts w:hint="eastAsia" w:ascii="Times New Roman" w:hAnsi="Times New Roman" w:eastAsia="方正小标宋简体"/>
          <w:sz w:val="44"/>
          <w:szCs w:val="44"/>
        </w:rPr>
      </w:pPr>
    </w:p>
    <w:p w14:paraId="20E89A55">
      <w:pPr>
        <w:keepNext w:val="0"/>
        <w:keepLines w:val="0"/>
        <w:pageBreakBefore w:val="0"/>
        <w:widowControl w:val="0"/>
        <w:kinsoku/>
        <w:wordWrap/>
        <w:overflowPunct/>
        <w:topLinePunct w:val="0"/>
        <w:autoSpaceDE/>
        <w:autoSpaceDN w:val="0"/>
        <w:bidi w:val="0"/>
        <w:adjustRightInd w:val="0"/>
        <w:snapToGrid w:val="0"/>
        <w:spacing w:line="600" w:lineRule="exact"/>
        <w:jc w:val="center"/>
        <w:textAlignment w:val="auto"/>
        <w:rPr>
          <w:rFonts w:hint="eastAsia" w:ascii="Times New Roman" w:hAnsi="Times New Roman" w:eastAsia="方正小标宋简体"/>
          <w:sz w:val="44"/>
          <w:szCs w:val="44"/>
        </w:rPr>
      </w:pPr>
    </w:p>
    <w:p w14:paraId="62BF277F">
      <w:pPr>
        <w:keepNext w:val="0"/>
        <w:keepLines w:val="0"/>
        <w:pageBreakBefore w:val="0"/>
        <w:widowControl w:val="0"/>
        <w:kinsoku/>
        <w:wordWrap/>
        <w:overflowPunct/>
        <w:topLinePunct w:val="0"/>
        <w:autoSpaceDE/>
        <w:autoSpaceDN w:val="0"/>
        <w:bidi w:val="0"/>
        <w:adjustRightInd w:val="0"/>
        <w:snapToGrid w:val="0"/>
        <w:spacing w:line="600" w:lineRule="exact"/>
        <w:jc w:val="center"/>
        <w:textAlignment w:val="auto"/>
        <w:rPr>
          <w:rFonts w:hint="eastAsia" w:ascii="Times New Roman" w:hAnsi="Times New Roman" w:eastAsia="方正小标宋简体"/>
          <w:sz w:val="44"/>
          <w:szCs w:val="44"/>
        </w:rPr>
      </w:pPr>
    </w:p>
    <w:p w14:paraId="2A786A0E">
      <w:pPr>
        <w:keepNext w:val="0"/>
        <w:keepLines w:val="0"/>
        <w:pageBreakBefore w:val="0"/>
        <w:kinsoku/>
        <w:overflowPunct/>
        <w:topLinePunct w:val="0"/>
        <w:autoSpaceDE/>
        <w:autoSpaceDN w:val="0"/>
        <w:bidi w:val="0"/>
        <w:adjustRightInd w:val="0"/>
        <w:snapToGrid w:val="0"/>
        <w:spacing w:line="560" w:lineRule="exact"/>
        <w:jc w:val="center"/>
        <w:rPr>
          <w:rFonts w:hint="eastAsia" w:ascii="Times New Roman" w:hAnsi="Times New Roman" w:eastAsia="方正小标宋简体"/>
          <w:sz w:val="44"/>
          <w:szCs w:val="44"/>
          <w:lang w:val="en-US" w:eastAsia="zh-CN"/>
        </w:rPr>
      </w:pPr>
      <w:r>
        <w:rPr>
          <w:rFonts w:hint="eastAsia" w:ascii="Times New Roman" w:hAnsi="Times New Roman" w:eastAsia="方正小标宋简体"/>
          <w:sz w:val="44"/>
          <w:szCs w:val="44"/>
        </w:rPr>
        <w:t>关于</w:t>
      </w:r>
      <w:r>
        <w:rPr>
          <w:rFonts w:hint="eastAsia" w:ascii="Times New Roman" w:hAnsi="Times New Roman" w:eastAsia="方正小标宋简体"/>
          <w:sz w:val="44"/>
          <w:szCs w:val="44"/>
          <w:lang w:val="en-US" w:eastAsia="zh-CN"/>
        </w:rPr>
        <w:t>公布护理类医疗服务项目价格</w:t>
      </w:r>
    </w:p>
    <w:p w14:paraId="01D2C23E">
      <w:pPr>
        <w:keepNext w:val="0"/>
        <w:keepLines w:val="0"/>
        <w:pageBreakBefore w:val="0"/>
        <w:kinsoku/>
        <w:overflowPunct/>
        <w:topLinePunct w:val="0"/>
        <w:autoSpaceDE/>
        <w:autoSpaceDN w:val="0"/>
        <w:bidi w:val="0"/>
        <w:adjustRightInd w:val="0"/>
        <w:snapToGrid w:val="0"/>
        <w:spacing w:line="560" w:lineRule="exact"/>
        <w:jc w:val="center"/>
        <w:rPr>
          <w:rFonts w:hint="eastAsia" w:ascii="宋体" w:hAnsi="宋体" w:eastAsia="方正小标宋简体"/>
          <w:sz w:val="44"/>
          <w:szCs w:val="44"/>
        </w:rPr>
      </w:pPr>
      <w:r>
        <w:rPr>
          <w:rFonts w:hint="eastAsia" w:ascii="宋体" w:hAnsi="宋体" w:eastAsia="方正小标宋简体"/>
          <w:sz w:val="44"/>
          <w:szCs w:val="44"/>
          <w:lang w:val="en-US" w:eastAsia="zh-CN"/>
        </w:rPr>
        <w:t>有关事项</w:t>
      </w:r>
      <w:r>
        <w:rPr>
          <w:rFonts w:hint="eastAsia" w:ascii="宋体" w:hAnsi="宋体" w:eastAsia="方正小标宋简体"/>
          <w:sz w:val="44"/>
          <w:szCs w:val="44"/>
        </w:rPr>
        <w:t>的通知</w:t>
      </w:r>
    </w:p>
    <w:p w14:paraId="256608CA">
      <w:pPr>
        <w:pStyle w:val="4"/>
        <w:keepNext w:val="0"/>
        <w:keepLines w:val="0"/>
        <w:pageBreakBefore w:val="0"/>
        <w:kinsoku/>
        <w:overflowPunct/>
        <w:topLinePunct w:val="0"/>
        <w:autoSpaceDE/>
        <w:autoSpaceDN/>
        <w:bidi w:val="0"/>
        <w:adjustRightInd/>
        <w:snapToGrid/>
        <w:spacing w:line="540" w:lineRule="exact"/>
        <w:ind w:left="0" w:leftChars="0" w:firstLine="0" w:firstLineChars="0"/>
        <w:jc w:val="center"/>
        <w:rPr>
          <w:rFonts w:hint="eastAsia" w:ascii="宋体" w:hAnsi="宋体" w:eastAsia="楷体_GB2312" w:cs="楷体_GB2312"/>
          <w:sz w:val="32"/>
          <w:szCs w:val="32"/>
          <w:lang w:eastAsia="zh-CN"/>
        </w:rPr>
      </w:pPr>
    </w:p>
    <w:p w14:paraId="19D9EBB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leftChars="0" w:right="0" w:rightChars="0"/>
        <w:jc w:val="both"/>
        <w:textAlignment w:val="auto"/>
        <w:outlineLvl w:val="9"/>
        <w:rPr>
          <w:rFonts w:hint="eastAsia" w:ascii="宋体" w:hAnsi="宋体" w:eastAsia="仿宋_GB2312"/>
          <w:sz w:val="32"/>
          <w:szCs w:val="32"/>
        </w:rPr>
      </w:pPr>
      <w:r>
        <w:rPr>
          <w:rFonts w:hint="default" w:ascii="宋体" w:hAnsi="宋体" w:eastAsia="仿宋_GB2312" w:cs="Times New Roman"/>
          <w:color w:val="auto"/>
          <w:spacing w:val="0"/>
          <w:w w:val="100"/>
          <w:sz w:val="32"/>
          <w:szCs w:val="32"/>
          <w:lang w:val="en-US" w:eastAsia="zh-CN"/>
        </w:rPr>
        <w:t>各分局</w:t>
      </w:r>
      <w:r>
        <w:rPr>
          <w:rFonts w:hint="eastAsia" w:ascii="宋体" w:hAnsi="宋体" w:eastAsia="仿宋_GB2312" w:cs="Times New Roman"/>
          <w:color w:val="auto"/>
          <w:spacing w:val="0"/>
          <w:w w:val="100"/>
          <w:sz w:val="32"/>
          <w:szCs w:val="32"/>
          <w:lang w:val="en-US" w:eastAsia="zh-CN"/>
        </w:rPr>
        <w:t>、</w:t>
      </w:r>
      <w:r>
        <w:rPr>
          <w:rFonts w:hint="default" w:ascii="宋体" w:hAnsi="宋体" w:eastAsia="仿宋_GB2312" w:cs="Times New Roman"/>
          <w:color w:val="auto"/>
          <w:spacing w:val="0"/>
          <w:w w:val="100"/>
          <w:sz w:val="32"/>
          <w:szCs w:val="32"/>
          <w:lang w:val="en-US" w:eastAsia="zh-CN"/>
        </w:rPr>
        <w:t>市</w:t>
      </w:r>
      <w:r>
        <w:rPr>
          <w:rFonts w:hint="eastAsia" w:ascii="宋体" w:hAnsi="宋体" w:eastAsia="仿宋_GB2312" w:cs="Times New Roman"/>
          <w:color w:val="auto"/>
          <w:spacing w:val="0"/>
          <w:w w:val="100"/>
          <w:sz w:val="32"/>
          <w:szCs w:val="32"/>
          <w:lang w:val="en-US" w:eastAsia="zh-CN"/>
        </w:rPr>
        <w:t>直（驻市）</w:t>
      </w:r>
      <w:r>
        <w:rPr>
          <w:rFonts w:hint="default" w:ascii="宋体" w:hAnsi="宋体" w:eastAsia="仿宋_GB2312" w:cs="Times New Roman"/>
          <w:color w:val="auto"/>
          <w:spacing w:val="0"/>
          <w:w w:val="100"/>
          <w:sz w:val="32"/>
          <w:szCs w:val="32"/>
          <w:lang w:val="en-US" w:eastAsia="zh-CN"/>
        </w:rPr>
        <w:t>医疗机构</w:t>
      </w:r>
      <w:r>
        <w:rPr>
          <w:rFonts w:hint="default" w:ascii="宋体" w:hAnsi="宋体" w:eastAsia="仿宋_GB2312" w:cs="Times New Roman"/>
          <w:color w:val="auto"/>
          <w:spacing w:val="0"/>
          <w:w w:val="100"/>
          <w:sz w:val="32"/>
          <w:szCs w:val="32"/>
          <w:lang w:eastAsia="zh-CN"/>
        </w:rPr>
        <w:t>：</w:t>
      </w:r>
    </w:p>
    <w:p w14:paraId="770C6DAA">
      <w:pPr>
        <w:keepNext w:val="0"/>
        <w:keepLines w:val="0"/>
        <w:pageBreakBefore w:val="0"/>
        <w:kinsoku/>
        <w:overflowPunct/>
        <w:topLinePunct w:val="0"/>
        <w:autoSpaceDE/>
        <w:autoSpaceDN/>
        <w:bidi w:val="0"/>
        <w:adjustRightInd/>
        <w:snapToGrid/>
        <w:spacing w:line="540" w:lineRule="exact"/>
        <w:ind w:firstLine="640" w:firstLineChars="200"/>
        <w:rPr>
          <w:rFonts w:hint="eastAsia" w:ascii="宋体" w:hAnsi="宋体" w:eastAsia="仿宋_GB2312"/>
          <w:sz w:val="32"/>
          <w:szCs w:val="32"/>
          <w:lang w:eastAsia="zh-CN"/>
        </w:rPr>
      </w:pPr>
      <w:r>
        <w:rPr>
          <w:rFonts w:hint="eastAsia" w:ascii="宋体" w:hAnsi="宋体" w:eastAsia="仿宋_GB2312"/>
          <w:sz w:val="32"/>
          <w:szCs w:val="32"/>
          <w:lang w:val="en-US" w:eastAsia="zh-CN"/>
        </w:rPr>
        <w:t>根据《江西省医疗保障局关于规范整合护理类医疗服务价格项目的通知》（赣医保字〔2025〕20号）精神，我市参照在昌省直医院价格制定了全市护理类医疗服务项目价格，现就</w:t>
      </w:r>
      <w:r>
        <w:rPr>
          <w:rFonts w:hint="eastAsia" w:ascii="宋体" w:hAnsi="宋体" w:eastAsia="仿宋_GB2312"/>
          <w:sz w:val="32"/>
          <w:szCs w:val="32"/>
        </w:rPr>
        <w:t>有关事项通知如下</w:t>
      </w:r>
      <w:r>
        <w:rPr>
          <w:rFonts w:hint="eastAsia" w:ascii="宋体" w:hAnsi="宋体" w:eastAsia="仿宋_GB2312"/>
          <w:sz w:val="32"/>
          <w:szCs w:val="32"/>
          <w:lang w:eastAsia="zh-CN"/>
        </w:rPr>
        <w:t>。</w:t>
      </w:r>
    </w:p>
    <w:p w14:paraId="5E22775B">
      <w:pPr>
        <w:keepNext w:val="0"/>
        <w:keepLines w:val="0"/>
        <w:pageBreakBefore w:val="0"/>
        <w:kinsoku/>
        <w:overflowPunct/>
        <w:topLinePunct w:val="0"/>
        <w:autoSpaceDE/>
        <w:autoSpaceDN/>
        <w:bidi w:val="0"/>
        <w:adjustRightInd/>
        <w:snapToGrid/>
        <w:spacing w:line="540" w:lineRule="exact"/>
        <w:ind w:firstLine="640" w:firstLineChars="200"/>
        <w:rPr>
          <w:rFonts w:hint="eastAsia" w:ascii="宋体" w:hAnsi="宋体" w:eastAsia="仿宋_GB2312"/>
          <w:sz w:val="32"/>
          <w:szCs w:val="32"/>
        </w:rPr>
      </w:pPr>
      <w:r>
        <w:rPr>
          <w:rFonts w:hint="eastAsia" w:ascii="宋体" w:hAnsi="宋体" w:eastAsia="仿宋_GB2312"/>
          <w:sz w:val="32"/>
          <w:szCs w:val="32"/>
        </w:rPr>
        <w:t>一、</w:t>
      </w:r>
      <w:r>
        <w:rPr>
          <w:rFonts w:hint="eastAsia" w:ascii="宋体" w:hAnsi="宋体" w:eastAsia="仿宋_GB2312" w:cs="仿宋_GB2312"/>
          <w:color w:val="auto"/>
          <w:w w:val="100"/>
          <w:sz w:val="32"/>
          <w:szCs w:val="32"/>
          <w:lang w:val="zh-CN"/>
        </w:rPr>
        <w:t>规范整合后，设立</w:t>
      </w:r>
      <w:r>
        <w:rPr>
          <w:rFonts w:hint="eastAsia" w:ascii="宋体" w:hAnsi="宋体" w:eastAsia="仿宋_GB2312" w:cs="仿宋_GB2312"/>
          <w:sz w:val="32"/>
          <w:szCs w:val="32"/>
          <w:lang w:val="en-US" w:eastAsia="zh-CN"/>
        </w:rPr>
        <w:t>28个</w:t>
      </w:r>
      <w:r>
        <w:rPr>
          <w:rFonts w:hint="eastAsia" w:ascii="宋体" w:hAnsi="宋体" w:eastAsia="仿宋_GB2312"/>
          <w:sz w:val="32"/>
          <w:szCs w:val="32"/>
          <w:lang w:val="en-US" w:eastAsia="zh-CN"/>
        </w:rPr>
        <w:t>护理类</w:t>
      </w:r>
      <w:r>
        <w:rPr>
          <w:rFonts w:hint="eastAsia" w:ascii="宋体" w:hAnsi="宋体" w:eastAsia="仿宋_GB2312" w:cs="仿宋_GB2312"/>
          <w:color w:val="auto"/>
          <w:w w:val="100"/>
          <w:sz w:val="32"/>
          <w:szCs w:val="32"/>
          <w:lang w:val="zh-CN"/>
        </w:rPr>
        <w:t>医疗服务价格项目，同时废止</w:t>
      </w:r>
      <w:r>
        <w:rPr>
          <w:rFonts w:hint="eastAsia" w:ascii="宋体" w:hAnsi="宋体" w:eastAsia="仿宋_GB2312" w:cs="仿宋_GB2312"/>
          <w:sz w:val="32"/>
          <w:szCs w:val="32"/>
          <w:lang w:val="zh-CN" w:eastAsia="zh-CN"/>
        </w:rPr>
        <w:t>现行</w:t>
      </w:r>
      <w:r>
        <w:rPr>
          <w:rFonts w:hint="eastAsia" w:ascii="宋体" w:hAnsi="宋体" w:eastAsia="仿宋_GB2312" w:cs="仿宋_GB2312"/>
          <w:sz w:val="32"/>
          <w:szCs w:val="32"/>
          <w:lang w:val="en-US" w:eastAsia="zh-CN"/>
        </w:rPr>
        <w:t>14个</w:t>
      </w:r>
      <w:r>
        <w:rPr>
          <w:rFonts w:hint="eastAsia" w:ascii="宋体" w:hAnsi="宋体" w:eastAsia="仿宋_GB2312"/>
          <w:sz w:val="32"/>
          <w:szCs w:val="32"/>
          <w:lang w:val="en-US" w:eastAsia="zh-CN"/>
        </w:rPr>
        <w:t>护理类</w:t>
      </w:r>
      <w:r>
        <w:rPr>
          <w:rFonts w:hint="eastAsia" w:ascii="宋体" w:hAnsi="宋体" w:eastAsia="仿宋_GB2312" w:cs="仿宋_GB2312"/>
          <w:sz w:val="32"/>
          <w:szCs w:val="32"/>
          <w:lang w:val="en-US" w:eastAsia="zh-CN"/>
        </w:rPr>
        <w:t>价格项目</w:t>
      </w:r>
      <w:r>
        <w:rPr>
          <w:rFonts w:hint="eastAsia" w:ascii="宋体" w:hAnsi="宋体" w:eastAsia="仿宋_GB2312" w:cs="仿宋_GB2312"/>
          <w:color w:val="auto"/>
          <w:w w:val="100"/>
          <w:sz w:val="32"/>
          <w:szCs w:val="32"/>
          <w:lang w:eastAsia="zh-CN"/>
        </w:rPr>
        <w:t>。相关</w:t>
      </w:r>
      <w:r>
        <w:rPr>
          <w:rFonts w:hint="eastAsia" w:ascii="宋体" w:hAnsi="宋体" w:eastAsia="仿宋_GB2312" w:cs="仿宋_GB2312"/>
          <w:color w:val="auto"/>
          <w:w w:val="100"/>
          <w:sz w:val="32"/>
          <w:szCs w:val="32"/>
          <w:lang w:val="zh-CN"/>
        </w:rPr>
        <w:t>项目及价格见附件，所标注价格为</w:t>
      </w:r>
      <w:r>
        <w:rPr>
          <w:rFonts w:hint="eastAsia" w:ascii="宋体" w:hAnsi="宋体" w:eastAsia="仿宋_GB2312" w:cs="仿宋_GB2312"/>
          <w:color w:val="auto"/>
          <w:w w:val="100"/>
          <w:sz w:val="32"/>
          <w:szCs w:val="32"/>
          <w:lang w:val="en-US" w:eastAsia="zh-CN"/>
        </w:rPr>
        <w:t>我市各级</w:t>
      </w:r>
      <w:r>
        <w:rPr>
          <w:rFonts w:hint="eastAsia" w:ascii="宋体" w:hAnsi="宋体" w:eastAsia="仿宋_GB2312" w:cs="仿宋_GB2312"/>
          <w:color w:val="auto"/>
          <w:w w:val="100"/>
          <w:sz w:val="32"/>
          <w:szCs w:val="32"/>
          <w:lang w:val="zh-CN"/>
        </w:rPr>
        <w:t>公立医院最高政</w:t>
      </w:r>
      <w:r>
        <w:rPr>
          <w:rFonts w:hint="eastAsia" w:ascii="宋体" w:hAnsi="宋体" w:eastAsia="仿宋_GB2312" w:cs="仿宋_GB2312"/>
          <w:color w:val="auto"/>
          <w:w w:val="100"/>
          <w:sz w:val="32"/>
          <w:szCs w:val="32"/>
        </w:rPr>
        <w:t>府指导价</w:t>
      </w:r>
      <w:r>
        <w:rPr>
          <w:rFonts w:hint="eastAsia" w:ascii="宋体" w:hAnsi="宋体" w:eastAsia="仿宋_GB2312"/>
          <w:sz w:val="32"/>
          <w:szCs w:val="32"/>
          <w:lang w:val="en-US" w:eastAsia="zh-CN"/>
        </w:rPr>
        <w:t>。</w:t>
      </w:r>
    </w:p>
    <w:p w14:paraId="27EA88E3">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宋体" w:hAnsi="宋体" w:eastAsia="仿宋_GB2312" w:cs="仿宋_GB2312"/>
          <w:color w:val="auto"/>
          <w:w w:val="100"/>
          <w:kern w:val="0"/>
          <w:sz w:val="32"/>
          <w:szCs w:val="32"/>
        </w:rPr>
      </w:pPr>
      <w:r>
        <w:rPr>
          <w:rFonts w:hint="eastAsia" w:ascii="宋体" w:hAnsi="宋体" w:eastAsia="仿宋_GB2312" w:cs="仿宋_GB2312"/>
          <w:color w:val="auto"/>
          <w:w w:val="100"/>
          <w:sz w:val="32"/>
          <w:szCs w:val="32"/>
          <w:lang w:eastAsia="zh-CN"/>
        </w:rPr>
        <w:t>二、</w:t>
      </w:r>
      <w:r>
        <w:rPr>
          <w:rFonts w:hint="eastAsia" w:ascii="宋体" w:hAnsi="宋体" w:eastAsia="仿宋_GB2312" w:cs="仿宋_GB2312"/>
          <w:color w:val="auto"/>
          <w:w w:val="100"/>
          <w:kern w:val="0"/>
          <w:sz w:val="32"/>
          <w:szCs w:val="32"/>
        </w:rPr>
        <w:t>各</w:t>
      </w:r>
      <w:r>
        <w:rPr>
          <w:rFonts w:hint="eastAsia" w:ascii="宋体" w:hAnsi="宋体" w:eastAsia="仿宋_GB2312" w:cs="仿宋_GB2312"/>
          <w:color w:val="auto"/>
          <w:w w:val="100"/>
          <w:kern w:val="0"/>
          <w:sz w:val="32"/>
          <w:szCs w:val="32"/>
          <w:lang w:val="en-US" w:eastAsia="zh-CN"/>
        </w:rPr>
        <w:t>分局</w:t>
      </w:r>
      <w:r>
        <w:rPr>
          <w:rFonts w:hint="eastAsia" w:ascii="宋体" w:hAnsi="宋体" w:eastAsia="仿宋_GB2312" w:cs="仿宋_GB2312"/>
          <w:color w:val="auto"/>
          <w:w w:val="100"/>
          <w:kern w:val="0"/>
          <w:sz w:val="32"/>
          <w:szCs w:val="32"/>
        </w:rPr>
        <w:t>要统一思想，提高认识</w:t>
      </w:r>
      <w:r>
        <w:rPr>
          <w:rFonts w:hint="eastAsia" w:ascii="宋体" w:hAnsi="宋体" w:eastAsia="仿宋_GB2312" w:cs="仿宋_GB2312"/>
          <w:color w:val="auto"/>
          <w:w w:val="100"/>
          <w:kern w:val="0"/>
          <w:sz w:val="32"/>
          <w:szCs w:val="32"/>
          <w:lang w:eastAsia="zh-CN"/>
        </w:rPr>
        <w:t>，</w:t>
      </w:r>
      <w:r>
        <w:rPr>
          <w:rFonts w:hint="eastAsia" w:ascii="宋体" w:hAnsi="宋体" w:eastAsia="仿宋_GB2312" w:cs="仿宋_GB2312"/>
          <w:color w:val="auto"/>
          <w:w w:val="100"/>
          <w:kern w:val="0"/>
          <w:sz w:val="32"/>
          <w:szCs w:val="32"/>
        </w:rPr>
        <w:t>严格执行规范整合后的医疗服务价格项目规定的</w:t>
      </w:r>
      <w:r>
        <w:rPr>
          <w:rFonts w:hint="eastAsia" w:ascii="宋体" w:hAnsi="宋体" w:eastAsia="仿宋_GB2312" w:cs="仿宋_GB2312"/>
          <w:color w:val="auto"/>
          <w:w w:val="100"/>
          <w:sz w:val="32"/>
          <w:szCs w:val="32"/>
          <w:lang w:val="zh-TW"/>
        </w:rPr>
        <w:t>“项目编码</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项目名称</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服务产出</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价格构成</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计价单位</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说明</w:t>
      </w:r>
      <w:r>
        <w:rPr>
          <w:rFonts w:hint="eastAsia" w:ascii="宋体" w:hAnsi="宋体" w:eastAsia="仿宋_GB2312" w:cs="仿宋_GB2312"/>
          <w:color w:val="auto"/>
          <w:w w:val="100"/>
          <w:sz w:val="32"/>
          <w:szCs w:val="32"/>
          <w:lang w:val="zh-TW" w:eastAsia="zh-CN"/>
        </w:rPr>
        <w:t>”和“</w:t>
      </w:r>
      <w:r>
        <w:rPr>
          <w:rFonts w:hint="eastAsia" w:ascii="宋体" w:hAnsi="宋体" w:eastAsia="仿宋_GB2312" w:cs="仿宋_GB2312"/>
          <w:color w:val="auto"/>
          <w:w w:val="100"/>
          <w:sz w:val="32"/>
          <w:szCs w:val="32"/>
          <w:lang w:val="zh-TW"/>
        </w:rPr>
        <w:t>医保支付类别</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w:t>
      </w:r>
      <w:r>
        <w:rPr>
          <w:rFonts w:hint="eastAsia" w:ascii="宋体" w:hAnsi="宋体" w:eastAsia="仿宋_GB2312" w:cs="仿宋_GB2312"/>
          <w:color w:val="auto"/>
          <w:w w:val="100"/>
          <w:sz w:val="32"/>
          <w:szCs w:val="32"/>
        </w:rPr>
        <w:t>不得自行制定</w:t>
      </w:r>
      <w:r>
        <w:rPr>
          <w:rFonts w:hint="eastAsia" w:ascii="宋体" w:hAnsi="宋体" w:eastAsia="仿宋_GB2312" w:cs="仿宋_GB2312"/>
          <w:color w:val="auto"/>
          <w:w w:val="100"/>
          <w:sz w:val="32"/>
          <w:szCs w:val="32"/>
          <w:lang w:eastAsia="zh-CN"/>
        </w:rPr>
        <w:t>医保支付政策</w:t>
      </w:r>
      <w:r>
        <w:rPr>
          <w:rFonts w:hint="eastAsia" w:ascii="宋体" w:hAnsi="宋体" w:eastAsia="仿宋_GB2312" w:cs="仿宋_GB2312"/>
          <w:color w:val="auto"/>
          <w:w w:val="100"/>
          <w:sz w:val="32"/>
          <w:szCs w:val="32"/>
        </w:rPr>
        <w:t>或用变通的方法增加</w:t>
      </w:r>
      <w:r>
        <w:rPr>
          <w:rFonts w:hint="eastAsia" w:ascii="宋体" w:hAnsi="宋体" w:eastAsia="仿宋_GB2312" w:cs="仿宋_GB2312"/>
          <w:color w:val="auto"/>
          <w:w w:val="100"/>
          <w:sz w:val="32"/>
          <w:szCs w:val="32"/>
          <w:lang w:eastAsia="zh-CN"/>
        </w:rPr>
        <w:t>医保支付范围</w:t>
      </w:r>
      <w:r>
        <w:rPr>
          <w:rFonts w:hint="eastAsia" w:ascii="宋体" w:hAnsi="宋体" w:eastAsia="仿宋_GB2312" w:cs="仿宋_GB2312"/>
          <w:color w:val="auto"/>
          <w:w w:val="100"/>
          <w:sz w:val="32"/>
          <w:szCs w:val="32"/>
        </w:rPr>
        <w:t>内</w:t>
      </w:r>
      <w:r>
        <w:rPr>
          <w:rFonts w:hint="eastAsia" w:ascii="宋体" w:hAnsi="宋体" w:eastAsia="仿宋_GB2312" w:cs="仿宋_GB2312"/>
          <w:color w:val="auto"/>
          <w:w w:val="100"/>
          <w:sz w:val="32"/>
          <w:szCs w:val="32"/>
          <w:lang w:eastAsia="zh-CN"/>
        </w:rPr>
        <w:t>的</w:t>
      </w:r>
      <w:r>
        <w:rPr>
          <w:rFonts w:hint="eastAsia" w:ascii="宋体" w:hAnsi="宋体" w:eastAsia="仿宋_GB2312" w:cs="仿宋_GB2312"/>
          <w:color w:val="auto"/>
          <w:w w:val="100"/>
          <w:sz w:val="32"/>
          <w:szCs w:val="32"/>
        </w:rPr>
        <w:t>医疗服务项目，也不得自行调整</w:t>
      </w:r>
      <w:r>
        <w:rPr>
          <w:rFonts w:hint="eastAsia" w:ascii="宋体" w:hAnsi="宋体" w:eastAsia="仿宋_GB2312" w:cs="仿宋_GB2312"/>
          <w:color w:val="auto"/>
          <w:w w:val="100"/>
          <w:sz w:val="32"/>
          <w:szCs w:val="32"/>
          <w:lang w:eastAsia="zh-CN"/>
        </w:rPr>
        <w:t>医保支付范围</w:t>
      </w:r>
      <w:r>
        <w:rPr>
          <w:rFonts w:hint="eastAsia" w:ascii="宋体" w:hAnsi="宋体" w:eastAsia="仿宋_GB2312" w:cs="仿宋_GB2312"/>
          <w:color w:val="auto"/>
          <w:w w:val="100"/>
          <w:sz w:val="32"/>
          <w:szCs w:val="32"/>
        </w:rPr>
        <w:t>内医疗服</w:t>
      </w:r>
      <w:r>
        <w:rPr>
          <w:rFonts w:hint="eastAsia" w:ascii="宋体" w:hAnsi="宋体" w:eastAsia="仿宋_GB2312" w:cs="仿宋_GB2312"/>
          <w:color w:val="auto"/>
          <w:w w:val="100"/>
          <w:kern w:val="0"/>
          <w:sz w:val="32"/>
          <w:szCs w:val="32"/>
        </w:rPr>
        <w:t>务项目的支付类别、范围、比例或另设立医保支付标准。</w:t>
      </w:r>
    </w:p>
    <w:p w14:paraId="16AB4E4F">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宋体" w:hAnsi="宋体" w:eastAsia="仿宋_GB2312" w:cs="仿宋_GB2312"/>
          <w:color w:val="auto"/>
          <w:w w:val="100"/>
          <w:sz w:val="32"/>
          <w:szCs w:val="32"/>
        </w:rPr>
      </w:pPr>
      <w:r>
        <w:rPr>
          <w:rFonts w:hint="eastAsia" w:ascii="宋体" w:hAnsi="宋体" w:eastAsia="仿宋_GB2312" w:cs="仿宋_GB2312"/>
          <w:color w:val="auto"/>
          <w:w w:val="100"/>
          <w:sz w:val="32"/>
          <w:szCs w:val="32"/>
          <w:lang w:eastAsia="zh-CN"/>
        </w:rPr>
        <w:t>三</w:t>
      </w:r>
      <w:r>
        <w:rPr>
          <w:rFonts w:hint="eastAsia" w:ascii="宋体" w:hAnsi="宋体" w:eastAsia="仿宋_GB2312" w:cs="仿宋_GB2312"/>
          <w:color w:val="auto"/>
          <w:w w:val="100"/>
          <w:sz w:val="32"/>
          <w:szCs w:val="32"/>
        </w:rPr>
        <w:t>、医疗机构应严格执行价格公示等有关规定，及时将整合后的医疗服务价格项目发布在主要服务场所或官方网站，接受社会监督。</w:t>
      </w:r>
    </w:p>
    <w:p w14:paraId="5F6B241E">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宋体" w:hAnsi="宋体" w:eastAsia="仿宋_GB2312" w:cs="仿宋_GB2312"/>
          <w:color w:val="auto"/>
          <w:w w:val="100"/>
          <w:sz w:val="32"/>
          <w:szCs w:val="32"/>
          <w:lang w:eastAsia="zh-CN"/>
        </w:rPr>
      </w:pPr>
      <w:r>
        <w:rPr>
          <w:rFonts w:hint="eastAsia" w:ascii="宋体" w:hAnsi="宋体" w:eastAsia="仿宋_GB2312" w:cs="仿宋_GB2312"/>
          <w:color w:val="auto"/>
          <w:w w:val="100"/>
          <w:sz w:val="32"/>
          <w:szCs w:val="32"/>
          <w:lang w:eastAsia="zh-CN"/>
        </w:rPr>
        <w:t>四</w:t>
      </w:r>
      <w:r>
        <w:rPr>
          <w:rFonts w:hint="eastAsia" w:ascii="宋体" w:hAnsi="宋体" w:eastAsia="仿宋_GB2312" w:cs="仿宋_GB2312"/>
          <w:color w:val="auto"/>
          <w:w w:val="100"/>
          <w:sz w:val="32"/>
          <w:szCs w:val="32"/>
        </w:rPr>
        <w:t>、</w:t>
      </w:r>
      <w:r>
        <w:rPr>
          <w:rFonts w:hint="eastAsia" w:ascii="宋体" w:hAnsi="宋体" w:eastAsia="仿宋_GB2312"/>
          <w:sz w:val="32"/>
          <w:szCs w:val="32"/>
        </w:rPr>
        <w:t>各</w:t>
      </w:r>
      <w:r>
        <w:rPr>
          <w:rFonts w:hint="eastAsia" w:ascii="宋体" w:hAnsi="宋体" w:eastAsia="仿宋_GB2312"/>
          <w:sz w:val="32"/>
          <w:szCs w:val="32"/>
          <w:lang w:val="en-US" w:eastAsia="zh-CN"/>
        </w:rPr>
        <w:t>分局</w:t>
      </w:r>
      <w:r>
        <w:rPr>
          <w:rFonts w:hint="eastAsia" w:ascii="宋体" w:hAnsi="宋体" w:eastAsia="仿宋_GB2312"/>
          <w:sz w:val="32"/>
          <w:szCs w:val="32"/>
        </w:rPr>
        <w:t>应对</w:t>
      </w:r>
      <w:r>
        <w:rPr>
          <w:rFonts w:hint="eastAsia" w:ascii="宋体" w:hAnsi="宋体" w:eastAsia="仿宋_GB2312"/>
          <w:sz w:val="32"/>
          <w:szCs w:val="32"/>
          <w:lang w:val="en-US" w:eastAsia="zh-CN"/>
        </w:rPr>
        <w:t>整合后</w:t>
      </w:r>
      <w:r>
        <w:rPr>
          <w:rFonts w:hint="eastAsia" w:ascii="宋体" w:hAnsi="宋体" w:eastAsia="仿宋_GB2312"/>
          <w:sz w:val="32"/>
          <w:szCs w:val="32"/>
        </w:rPr>
        <w:t>的医疗服务价格项目</w:t>
      </w:r>
      <w:r>
        <w:rPr>
          <w:rFonts w:hint="eastAsia" w:ascii="宋体" w:hAnsi="宋体" w:eastAsia="仿宋_GB2312" w:cs="仿宋_GB2312"/>
          <w:color w:val="auto"/>
          <w:w w:val="100"/>
          <w:sz w:val="32"/>
          <w:szCs w:val="32"/>
          <w:lang w:val="zh-CN" w:eastAsia="zh-CN"/>
        </w:rPr>
        <w:t>开展情况进行定期监测。</w:t>
      </w:r>
      <w:r>
        <w:rPr>
          <w:rFonts w:hint="eastAsia" w:ascii="宋体" w:hAnsi="宋体" w:eastAsia="仿宋_GB2312" w:cs="仿宋_GB2312"/>
          <w:color w:val="auto"/>
          <w:w w:val="100"/>
          <w:kern w:val="0"/>
          <w:sz w:val="32"/>
          <w:szCs w:val="32"/>
          <w:lang w:eastAsia="zh-CN"/>
        </w:rPr>
        <w:t>同时，</w:t>
      </w:r>
      <w:r>
        <w:rPr>
          <w:rFonts w:hint="eastAsia" w:ascii="宋体" w:hAnsi="宋体" w:eastAsia="仿宋_GB2312" w:cs="仿宋_GB2312"/>
          <w:color w:val="auto"/>
          <w:w w:val="100"/>
          <w:kern w:val="0"/>
          <w:sz w:val="32"/>
          <w:szCs w:val="32"/>
          <w:lang w:val="en-US" w:eastAsia="zh-CN"/>
        </w:rPr>
        <w:t>应通过医保协议管理等方式同步规范民营医疗机构的医疗服务项目价格水平，不得高于本统筹区同等级公立医疗机构的医疗服务项目价格水平。</w:t>
      </w:r>
    </w:p>
    <w:p w14:paraId="78D3851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宋体" w:hAnsi="宋体" w:eastAsia="仿宋_GB2312" w:cs="仿宋_GB2312"/>
          <w:color w:val="auto"/>
          <w:w w:val="100"/>
          <w:sz w:val="32"/>
          <w:szCs w:val="32"/>
          <w:lang w:eastAsia="zh-CN"/>
        </w:rPr>
      </w:pPr>
      <w:r>
        <w:rPr>
          <w:rFonts w:hint="eastAsia" w:ascii="宋体" w:hAnsi="宋体" w:eastAsia="仿宋_GB2312" w:cs="仿宋_GB2312"/>
          <w:color w:val="auto"/>
          <w:w w:val="100"/>
          <w:sz w:val="32"/>
          <w:szCs w:val="32"/>
          <w:lang w:eastAsia="zh-CN"/>
        </w:rPr>
        <w:t>五</w:t>
      </w:r>
      <w:r>
        <w:rPr>
          <w:rFonts w:hint="eastAsia" w:ascii="宋体" w:hAnsi="宋体" w:eastAsia="仿宋_GB2312" w:cs="仿宋_GB2312"/>
          <w:color w:val="auto"/>
          <w:w w:val="100"/>
          <w:sz w:val="32"/>
          <w:szCs w:val="32"/>
        </w:rPr>
        <w:t>、本通知自202</w:t>
      </w:r>
      <w:r>
        <w:rPr>
          <w:rFonts w:hint="eastAsia" w:ascii="宋体" w:hAnsi="宋体" w:eastAsia="仿宋_GB2312" w:cs="仿宋_GB2312"/>
          <w:color w:val="auto"/>
          <w:w w:val="100"/>
          <w:sz w:val="32"/>
          <w:szCs w:val="32"/>
          <w:lang w:val="en-US" w:eastAsia="zh-CN"/>
        </w:rPr>
        <w:t>5</w:t>
      </w:r>
      <w:r>
        <w:rPr>
          <w:rFonts w:hint="eastAsia" w:ascii="宋体" w:hAnsi="宋体" w:eastAsia="仿宋_GB2312" w:cs="仿宋_GB2312"/>
          <w:color w:val="auto"/>
          <w:w w:val="100"/>
          <w:sz w:val="32"/>
          <w:szCs w:val="32"/>
        </w:rPr>
        <w:t>年</w:t>
      </w:r>
      <w:r>
        <w:rPr>
          <w:rFonts w:hint="eastAsia" w:ascii="宋体" w:hAnsi="宋体" w:eastAsia="仿宋_GB2312" w:cs="仿宋_GB2312"/>
          <w:color w:val="auto"/>
          <w:w w:val="100"/>
          <w:sz w:val="32"/>
          <w:szCs w:val="32"/>
          <w:lang w:val="en-US" w:eastAsia="zh-CN"/>
        </w:rPr>
        <w:t>4</w:t>
      </w:r>
      <w:r>
        <w:rPr>
          <w:rFonts w:hint="eastAsia" w:ascii="宋体" w:hAnsi="宋体" w:eastAsia="仿宋_GB2312" w:cs="仿宋_GB2312"/>
          <w:color w:val="auto"/>
          <w:w w:val="100"/>
          <w:sz w:val="32"/>
          <w:szCs w:val="32"/>
        </w:rPr>
        <w:t>月</w:t>
      </w:r>
      <w:r>
        <w:rPr>
          <w:rFonts w:hint="eastAsia" w:ascii="宋体" w:hAnsi="宋体" w:eastAsia="仿宋_GB2312" w:cs="仿宋_GB2312"/>
          <w:color w:val="auto"/>
          <w:w w:val="100"/>
          <w:sz w:val="32"/>
          <w:szCs w:val="32"/>
          <w:lang w:val="en-US" w:eastAsia="zh-CN"/>
        </w:rPr>
        <w:t>30</w:t>
      </w:r>
      <w:r>
        <w:rPr>
          <w:rFonts w:hint="eastAsia" w:ascii="宋体" w:hAnsi="宋体" w:eastAsia="仿宋_GB2312" w:cs="仿宋_GB2312"/>
          <w:color w:val="auto"/>
          <w:w w:val="100"/>
          <w:sz w:val="32"/>
          <w:szCs w:val="32"/>
        </w:rPr>
        <w:t>日起执行。若国家或我省</w:t>
      </w:r>
      <w:r>
        <w:rPr>
          <w:rFonts w:hint="eastAsia" w:ascii="宋体" w:hAnsi="宋体" w:eastAsia="仿宋_GB2312" w:cs="仿宋_GB2312"/>
          <w:color w:val="auto"/>
          <w:w w:val="100"/>
          <w:sz w:val="32"/>
          <w:szCs w:val="32"/>
          <w:lang w:eastAsia="zh-CN"/>
        </w:rPr>
        <w:t>、</w:t>
      </w:r>
      <w:r>
        <w:rPr>
          <w:rFonts w:hint="eastAsia" w:ascii="宋体" w:hAnsi="宋体" w:eastAsia="仿宋_GB2312" w:cs="仿宋_GB2312"/>
          <w:color w:val="auto"/>
          <w:w w:val="100"/>
          <w:sz w:val="32"/>
          <w:szCs w:val="32"/>
          <w:lang w:val="en-US" w:eastAsia="zh-CN"/>
        </w:rPr>
        <w:t>我市</w:t>
      </w:r>
      <w:r>
        <w:rPr>
          <w:rFonts w:hint="eastAsia" w:ascii="宋体" w:hAnsi="宋体" w:eastAsia="仿宋_GB2312" w:cs="仿宋_GB2312"/>
          <w:color w:val="auto"/>
          <w:w w:val="100"/>
          <w:sz w:val="32"/>
          <w:szCs w:val="32"/>
        </w:rPr>
        <w:t>有新规定的，按新规定执行。</w:t>
      </w:r>
    </w:p>
    <w:p w14:paraId="24641ED9">
      <w:pPr>
        <w:pStyle w:val="4"/>
        <w:keepNext w:val="0"/>
        <w:keepLines w:val="0"/>
        <w:pageBreakBefore w:val="0"/>
        <w:widowControl w:val="0"/>
        <w:kinsoku/>
        <w:wordWrap/>
        <w:overflowPunct/>
        <w:topLinePunct w:val="0"/>
        <w:autoSpaceDE/>
        <w:autoSpaceDN/>
        <w:bidi w:val="0"/>
        <w:adjustRightInd/>
        <w:snapToGrid/>
        <w:spacing w:line="540" w:lineRule="exact"/>
        <w:ind w:firstLine="412"/>
        <w:textAlignment w:val="auto"/>
        <w:rPr>
          <w:rFonts w:hint="eastAsia" w:ascii="宋体" w:hAnsi="宋体" w:eastAsia="仿宋_GB2312"/>
          <w:sz w:val="32"/>
          <w:szCs w:val="32"/>
        </w:rPr>
      </w:pPr>
    </w:p>
    <w:p w14:paraId="015A3B15">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both"/>
        <w:textAlignment w:val="center"/>
        <w:rPr>
          <w:rFonts w:hint="eastAsia" w:ascii="宋体" w:hAnsi="宋体" w:eastAsia="仿宋_GB2312" w:cs="仿宋_GB2312"/>
          <w:color w:val="auto"/>
          <w:sz w:val="32"/>
          <w:szCs w:val="32"/>
          <w:lang w:val="en-US" w:eastAsia="zh-CN"/>
        </w:rPr>
      </w:pPr>
      <w:r>
        <w:rPr>
          <w:rFonts w:hint="eastAsia" w:ascii="宋体" w:hAnsi="宋体" w:eastAsia="仿宋_GB2312"/>
          <w:sz w:val="32"/>
          <w:szCs w:val="32"/>
        </w:rPr>
        <w:t>附件：</w:t>
      </w:r>
      <w:r>
        <w:rPr>
          <w:rFonts w:hint="eastAsia" w:ascii="宋体" w:hAnsi="宋体" w:eastAsia="仿宋_GB2312" w:cs="仿宋_GB2312"/>
          <w:color w:val="auto"/>
          <w:sz w:val="32"/>
          <w:szCs w:val="32"/>
          <w:lang w:val="en-US" w:eastAsia="zh-CN"/>
        </w:rPr>
        <w:t>1.规范整合后</w:t>
      </w:r>
      <w:r>
        <w:rPr>
          <w:rFonts w:hint="eastAsia" w:ascii="宋体" w:hAnsi="宋体" w:eastAsia="仿宋_GB2312"/>
          <w:sz w:val="32"/>
          <w:szCs w:val="32"/>
          <w:lang w:val="en-US" w:eastAsia="zh-CN"/>
        </w:rPr>
        <w:t>护理类医疗服务</w:t>
      </w:r>
      <w:r>
        <w:rPr>
          <w:rFonts w:hint="eastAsia" w:ascii="宋体" w:hAnsi="宋体" w:eastAsia="仿宋_GB2312" w:cs="仿宋_GB2312"/>
          <w:color w:val="auto"/>
          <w:sz w:val="32"/>
          <w:szCs w:val="32"/>
          <w:lang w:val="en-US" w:eastAsia="zh-CN"/>
        </w:rPr>
        <w:t>项目价格表</w:t>
      </w:r>
    </w:p>
    <w:p w14:paraId="50F5960A">
      <w:pPr>
        <w:keepNext w:val="0"/>
        <w:keepLines w:val="0"/>
        <w:pageBreakBefore w:val="0"/>
        <w:widowControl/>
        <w:suppressLineNumbers w:val="0"/>
        <w:kinsoku/>
        <w:wordWrap/>
        <w:overflowPunct/>
        <w:topLinePunct w:val="0"/>
        <w:autoSpaceDE/>
        <w:autoSpaceDN/>
        <w:bidi w:val="0"/>
        <w:adjustRightInd/>
        <w:snapToGrid/>
        <w:spacing w:line="540" w:lineRule="exact"/>
        <w:ind w:firstLine="1600" w:firstLineChars="500"/>
        <w:jc w:val="both"/>
        <w:textAlignment w:val="center"/>
        <w:rPr>
          <w:rFonts w:hint="eastAsia" w:ascii="宋体" w:hAnsi="宋体" w:eastAsia="仿宋_GB2312" w:cs="仿宋_GB2312"/>
          <w:color w:val="auto"/>
          <w:sz w:val="32"/>
          <w:szCs w:val="32"/>
          <w:lang w:val="en-US" w:eastAsia="zh-CN"/>
        </w:rPr>
      </w:pPr>
      <w:r>
        <w:rPr>
          <w:rFonts w:hint="eastAsia" w:ascii="宋体" w:hAnsi="宋体" w:eastAsia="仿宋_GB2312" w:cs="仿宋_GB2312"/>
          <w:color w:val="auto"/>
          <w:sz w:val="32"/>
          <w:szCs w:val="32"/>
          <w:lang w:val="en-US" w:eastAsia="zh-CN"/>
        </w:rPr>
        <w:t>2.废止现行14个</w:t>
      </w:r>
      <w:r>
        <w:rPr>
          <w:rFonts w:hint="eastAsia" w:ascii="宋体" w:hAnsi="宋体" w:eastAsia="仿宋_GB2312"/>
          <w:sz w:val="32"/>
          <w:szCs w:val="32"/>
          <w:lang w:val="en-US" w:eastAsia="zh-CN"/>
        </w:rPr>
        <w:t>护理类医疗服务</w:t>
      </w:r>
      <w:r>
        <w:rPr>
          <w:rFonts w:hint="eastAsia" w:ascii="宋体" w:hAnsi="宋体" w:eastAsia="仿宋_GB2312" w:cs="仿宋_GB2312"/>
          <w:color w:val="auto"/>
          <w:sz w:val="32"/>
          <w:szCs w:val="32"/>
          <w:lang w:val="en-US" w:eastAsia="zh-CN"/>
        </w:rPr>
        <w:t>价格项目表</w:t>
      </w:r>
    </w:p>
    <w:p w14:paraId="5BCA0706">
      <w:pPr>
        <w:keepNext w:val="0"/>
        <w:keepLines w:val="0"/>
        <w:pageBreakBefore w:val="0"/>
        <w:widowControl/>
        <w:suppressLineNumbers w:val="0"/>
        <w:kinsoku/>
        <w:wordWrap/>
        <w:overflowPunct/>
        <w:topLinePunct w:val="0"/>
        <w:autoSpaceDE/>
        <w:autoSpaceDN/>
        <w:bidi w:val="0"/>
        <w:adjustRightInd/>
        <w:snapToGrid/>
        <w:spacing w:line="540" w:lineRule="exact"/>
        <w:ind w:left="2076" w:leftChars="836" w:hanging="320" w:hangingChars="100"/>
        <w:jc w:val="both"/>
        <w:textAlignment w:val="center"/>
        <w:rPr>
          <w:rFonts w:hint="eastAsia" w:ascii="宋体" w:hAnsi="宋体" w:eastAsia="仿宋_GB2312" w:cs="仿宋_GB2312"/>
          <w:color w:val="auto"/>
          <w:sz w:val="32"/>
          <w:szCs w:val="32"/>
          <w:lang w:val="en-US" w:eastAsia="zh-CN"/>
        </w:rPr>
      </w:pPr>
    </w:p>
    <w:p w14:paraId="4C075E63">
      <w:pPr>
        <w:pStyle w:val="6"/>
        <w:keepNext w:val="0"/>
        <w:keepLines w:val="0"/>
        <w:pageBreakBefore w:val="0"/>
        <w:tabs>
          <w:tab w:val="left" w:pos="1148"/>
        </w:tabs>
        <w:kinsoku/>
        <w:overflowPunct/>
        <w:topLinePunct w:val="0"/>
        <w:autoSpaceDE/>
        <w:autoSpaceDN/>
        <w:bidi w:val="0"/>
        <w:adjustRightInd/>
        <w:snapToGrid/>
        <w:spacing w:line="540" w:lineRule="exact"/>
        <w:rPr>
          <w:rFonts w:hint="eastAsia" w:ascii="宋体" w:hAnsi="宋体" w:eastAsia="仿宋_GB2312" w:cs="仿宋_GB2312"/>
          <w:sz w:val="32"/>
          <w:szCs w:val="32"/>
        </w:rPr>
      </w:pPr>
    </w:p>
    <w:p w14:paraId="05AD7B88">
      <w:pPr>
        <w:keepNext w:val="0"/>
        <w:keepLines w:val="0"/>
        <w:pageBreakBefore w:val="0"/>
        <w:kinsoku/>
        <w:wordWrap w:val="0"/>
        <w:overflowPunct/>
        <w:topLinePunct w:val="0"/>
        <w:autoSpaceDE/>
        <w:autoSpaceDN/>
        <w:bidi w:val="0"/>
        <w:adjustRightInd/>
        <w:snapToGrid/>
        <w:spacing w:line="540" w:lineRule="exact"/>
        <w:ind w:left="0" w:leftChars="0" w:right="0" w:rightChars="0"/>
        <w:jc w:val="center"/>
        <w:textAlignment w:val="auto"/>
        <w:rPr>
          <w:rFonts w:hint="eastAsia" w:ascii="宋体" w:hAnsi="宋体" w:eastAsia="仿宋_GB2312" w:cs="Times New Roman Regular"/>
          <w:color w:val="auto"/>
          <w:sz w:val="32"/>
          <w:szCs w:val="32"/>
          <w:highlight w:val="none"/>
          <w:lang w:val="en-US" w:eastAsia="zh-CN"/>
        </w:rPr>
      </w:pPr>
      <w:r>
        <w:rPr>
          <w:rFonts w:hint="eastAsia" w:ascii="宋体" w:hAnsi="宋体" w:eastAsia="仿宋_GB2312" w:cs="Times New Roman"/>
          <w:color w:val="auto"/>
          <w:sz w:val="32"/>
          <w:szCs w:val="32"/>
          <w:highlight w:val="none"/>
          <w:lang w:val="en-US" w:eastAsia="zh-CN"/>
        </w:rPr>
        <w:t xml:space="preserve">                             </w:t>
      </w:r>
      <w:r>
        <w:rPr>
          <w:rFonts w:hint="default" w:ascii="宋体" w:hAnsi="宋体" w:eastAsia="仿宋_GB2312" w:cs="Times New Roman"/>
          <w:color w:val="auto"/>
          <w:sz w:val="32"/>
          <w:szCs w:val="32"/>
          <w:highlight w:val="none"/>
          <w:lang w:val="en-US" w:eastAsia="zh-CN"/>
        </w:rPr>
        <w:t>赣州</w:t>
      </w:r>
      <w:r>
        <w:rPr>
          <w:rFonts w:hint="default" w:ascii="宋体" w:hAnsi="宋体" w:eastAsia="仿宋_GB2312" w:cs="Times New Roman"/>
          <w:color w:val="auto"/>
          <w:sz w:val="32"/>
          <w:szCs w:val="32"/>
          <w:highlight w:val="none"/>
        </w:rPr>
        <w:t>市医疗保障局</w:t>
      </w:r>
      <w:r>
        <w:rPr>
          <w:rFonts w:hint="eastAsia" w:ascii="宋体" w:hAnsi="宋体" w:eastAsia="仿宋_GB2312" w:cs="Times New Roman"/>
          <w:color w:val="auto"/>
          <w:sz w:val="32"/>
          <w:szCs w:val="32"/>
          <w:highlight w:val="none"/>
          <w:lang w:val="en-US" w:eastAsia="zh-CN"/>
        </w:rPr>
        <w:t xml:space="preserve">  </w:t>
      </w:r>
    </w:p>
    <w:p w14:paraId="24D160CD">
      <w:pPr>
        <w:pStyle w:val="6"/>
        <w:keepNext w:val="0"/>
        <w:keepLines w:val="0"/>
        <w:pageBreakBefore w:val="0"/>
        <w:tabs>
          <w:tab w:val="left" w:pos="1148"/>
        </w:tabs>
        <w:kinsoku/>
        <w:overflowPunct/>
        <w:topLinePunct w:val="0"/>
        <w:autoSpaceDE/>
        <w:autoSpaceDN/>
        <w:bidi w:val="0"/>
        <w:adjustRightInd/>
        <w:snapToGrid/>
        <w:spacing w:line="540" w:lineRule="exact"/>
        <w:jc w:val="center"/>
        <w:rPr>
          <w:rFonts w:hint="eastAsia" w:ascii="宋体" w:hAnsi="宋体" w:eastAsia="仿宋_GB2312" w:cs="仿宋_GB2312"/>
          <w:sz w:val="32"/>
          <w:szCs w:val="32"/>
        </w:rPr>
      </w:pPr>
      <w:r>
        <w:rPr>
          <w:rFonts w:hint="eastAsia" w:hAnsi="宋体" w:eastAsia="仿宋_GB2312" w:cs="Times New Roman Regular"/>
          <w:color w:val="auto"/>
          <w:sz w:val="32"/>
          <w:szCs w:val="32"/>
          <w:highlight w:val="none"/>
          <w:lang w:val="en-US" w:eastAsia="zh-CN"/>
        </w:rPr>
        <w:t xml:space="preserve">                           </w:t>
      </w:r>
      <w:r>
        <w:rPr>
          <w:rFonts w:hint="eastAsia" w:ascii="宋体" w:hAnsi="宋体" w:eastAsia="仿宋_GB2312" w:cs="Times New Roman Regular"/>
          <w:color w:val="auto"/>
          <w:sz w:val="32"/>
          <w:szCs w:val="32"/>
          <w:highlight w:val="none"/>
          <w:lang w:val="en-US" w:eastAsia="zh-CN"/>
        </w:rPr>
        <w:t>2025</w:t>
      </w:r>
      <w:r>
        <w:rPr>
          <w:rFonts w:hint="default" w:ascii="宋体" w:hAnsi="宋体" w:eastAsia="仿宋_GB2312" w:cs="Times New Roman Regular"/>
          <w:color w:val="auto"/>
          <w:sz w:val="32"/>
          <w:szCs w:val="32"/>
          <w:highlight w:val="none"/>
        </w:rPr>
        <w:t>年</w:t>
      </w:r>
      <w:r>
        <w:rPr>
          <w:rFonts w:hint="eastAsia" w:ascii="宋体" w:hAnsi="宋体" w:eastAsia="仿宋_GB2312" w:cs="Times New Roman Regular"/>
          <w:color w:val="auto"/>
          <w:sz w:val="32"/>
          <w:szCs w:val="32"/>
          <w:highlight w:val="none"/>
          <w:lang w:val="en-US" w:eastAsia="zh-CN"/>
        </w:rPr>
        <w:t>4</w:t>
      </w:r>
      <w:r>
        <w:rPr>
          <w:rFonts w:hint="default" w:ascii="宋体" w:hAnsi="宋体" w:eastAsia="仿宋_GB2312" w:cs="Times New Roman Regular"/>
          <w:color w:val="auto"/>
          <w:sz w:val="32"/>
          <w:szCs w:val="32"/>
          <w:highlight w:val="none"/>
        </w:rPr>
        <w:t>月</w:t>
      </w:r>
      <w:r>
        <w:rPr>
          <w:rFonts w:hint="eastAsia" w:ascii="宋体" w:hAnsi="宋体" w:eastAsia="仿宋_GB2312" w:cs="Times New Roman Regular"/>
          <w:color w:val="auto"/>
          <w:sz w:val="32"/>
          <w:szCs w:val="32"/>
          <w:highlight w:val="none"/>
          <w:lang w:val="en-US" w:eastAsia="zh-CN"/>
        </w:rPr>
        <w:t>29</w:t>
      </w:r>
      <w:r>
        <w:rPr>
          <w:rFonts w:hint="default" w:ascii="宋体" w:hAnsi="宋体" w:eastAsia="仿宋_GB2312" w:cs="Times New Roman Regular"/>
          <w:color w:val="auto"/>
          <w:sz w:val="32"/>
          <w:szCs w:val="32"/>
          <w:highlight w:val="none"/>
        </w:rPr>
        <w:t>日</w:t>
      </w:r>
    </w:p>
    <w:p w14:paraId="49867659">
      <w:pPr>
        <w:pStyle w:val="6"/>
        <w:keepNext w:val="0"/>
        <w:keepLines w:val="0"/>
        <w:pageBreakBefore w:val="0"/>
        <w:kinsoku/>
        <w:overflowPunct/>
        <w:topLinePunct w:val="0"/>
        <w:autoSpaceDE/>
        <w:autoSpaceDN/>
        <w:bidi w:val="0"/>
        <w:adjustRightInd/>
        <w:snapToGrid/>
        <w:spacing w:line="560" w:lineRule="exact"/>
        <w:ind w:firstLine="640" w:firstLineChars="200"/>
        <w:rPr>
          <w:rFonts w:hint="eastAsia" w:ascii="宋体" w:hAnsi="宋体" w:eastAsia="仿宋_GB2312" w:cs="仿宋_GB2312"/>
          <w:sz w:val="32"/>
          <w:szCs w:val="32"/>
        </w:rPr>
      </w:pPr>
    </w:p>
    <w:p w14:paraId="456BBAE3">
      <w:pPr>
        <w:pStyle w:val="6"/>
        <w:keepNext w:val="0"/>
        <w:keepLines w:val="0"/>
        <w:pageBreakBefore w:val="0"/>
        <w:kinsoku/>
        <w:overflowPunct/>
        <w:topLinePunct w:val="0"/>
        <w:autoSpaceDE/>
        <w:autoSpaceDN/>
        <w:bidi w:val="0"/>
        <w:adjustRightInd/>
        <w:snapToGrid/>
        <w:spacing w:line="560" w:lineRule="exact"/>
        <w:ind w:firstLine="640" w:firstLineChars="200"/>
        <w:rPr>
          <w:rFonts w:hint="eastAsia" w:ascii="宋体" w:hAnsi="宋体" w:eastAsia="仿宋_GB2312" w:cs="仿宋_GB2312"/>
          <w:sz w:val="32"/>
          <w:szCs w:val="32"/>
        </w:rPr>
      </w:pPr>
    </w:p>
    <w:p w14:paraId="78E71235">
      <w:pPr>
        <w:pStyle w:val="6"/>
        <w:keepNext w:val="0"/>
        <w:keepLines w:val="0"/>
        <w:pageBreakBefore w:val="0"/>
        <w:kinsoku/>
        <w:overflowPunct/>
        <w:topLinePunct w:val="0"/>
        <w:autoSpaceDE/>
        <w:autoSpaceDN/>
        <w:bidi w:val="0"/>
        <w:adjustRightInd/>
        <w:snapToGrid/>
        <w:spacing w:line="560" w:lineRule="exact"/>
        <w:ind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rPr>
        <w:t>（此件主动公开）</w:t>
      </w:r>
    </w:p>
    <w:p w14:paraId="5C5BFC0A">
      <w:pPr>
        <w:pStyle w:val="6"/>
        <w:keepNext w:val="0"/>
        <w:keepLines w:val="0"/>
        <w:pageBreakBefore w:val="0"/>
        <w:kinsoku/>
        <w:overflowPunct/>
        <w:topLinePunct w:val="0"/>
        <w:autoSpaceDE/>
        <w:autoSpaceDN/>
        <w:bidi w:val="0"/>
        <w:adjustRightInd/>
        <w:snapToGrid/>
        <w:spacing w:line="540" w:lineRule="exact"/>
        <w:rPr>
          <w:rFonts w:hint="eastAsia" w:ascii="Times New Roman" w:hAnsi="Times New Roman" w:eastAsia="宋体" w:cs="宋体"/>
          <w:b/>
          <w:bCs/>
          <w:i w:val="0"/>
          <w:iCs w:val="0"/>
          <w:color w:val="000000"/>
          <w:kern w:val="0"/>
          <w:sz w:val="36"/>
          <w:szCs w:val="36"/>
          <w:u w:val="none"/>
          <w:lang w:val="en-US" w:eastAsia="zh-CN" w:bidi="ar"/>
        </w:rPr>
        <w:sectPr>
          <w:footerReference r:id="rId3" w:type="default"/>
          <w:pgSz w:w="11906" w:h="16838"/>
          <w:pgMar w:top="2098" w:right="1474" w:bottom="1984" w:left="1587" w:header="851" w:footer="1587" w:gutter="0"/>
          <w:pgNumType w:fmt="decimal"/>
          <w:cols w:space="720" w:num="1"/>
          <w:docGrid w:type="lines" w:linePitch="312" w:charSpace="0"/>
        </w:sectPr>
      </w:pPr>
    </w:p>
    <w:p w14:paraId="63C0836D">
      <w:pPr>
        <w:pStyle w:val="6"/>
        <w:spacing w:line="600" w:lineRule="exact"/>
        <w:rPr>
          <w:rFonts w:hint="default" w:ascii="黑体" w:hAnsi="黑体" w:eastAsia="黑体" w:cs="黑体"/>
          <w:spacing w:val="7"/>
          <w:szCs w:val="32"/>
          <w:shd w:val="clear" w:color="auto" w:fill="FFFFFF"/>
          <w:lang w:val="en-US" w:eastAsia="zh-CN"/>
        </w:rPr>
      </w:pPr>
      <w:r>
        <w:rPr>
          <w:rFonts w:hint="eastAsia" w:ascii="黑体" w:hAnsi="黑体" w:eastAsia="黑体" w:cs="黑体"/>
          <w:spacing w:val="7"/>
          <w:szCs w:val="32"/>
          <w:shd w:val="clear" w:color="auto" w:fill="FFFFFF"/>
          <w:lang w:val="en-US" w:eastAsia="zh-CN"/>
        </w:rPr>
        <w:t>附件1</w:t>
      </w:r>
    </w:p>
    <w:p w14:paraId="01491B33">
      <w:pPr>
        <w:widowControl/>
        <w:spacing w:before="156" w:beforeLines="50"/>
        <w:jc w:val="center"/>
        <w:rPr>
          <w:rFonts w:hint="eastAsia" w:ascii="方正小标宋简体" w:hAnsi="黑体" w:eastAsia="方正小标宋简体" w:cs="仿宋_GB2312"/>
          <w:color w:val="auto"/>
          <w:sz w:val="44"/>
          <w:szCs w:val="44"/>
          <w:lang w:eastAsia="zh-CN"/>
        </w:rPr>
      </w:pPr>
      <w:r>
        <w:rPr>
          <w:rFonts w:hint="eastAsia" w:ascii="方正小标宋简体" w:hAnsi="黑体" w:eastAsia="方正小标宋简体" w:cs="仿宋_GB2312"/>
          <w:sz w:val="44"/>
          <w:szCs w:val="44"/>
          <w:lang w:eastAsia="zh-CN"/>
        </w:rPr>
        <w:t>规范整合后护理类医疗服务项目价格表</w:t>
      </w:r>
    </w:p>
    <w:tbl>
      <w:tblPr>
        <w:tblStyle w:val="10"/>
        <w:tblpPr w:leftFromText="180" w:rightFromText="180" w:vertAnchor="text" w:horzAnchor="page" w:tblpX="1383" w:tblpY="225"/>
        <w:tblOverlap w:val="never"/>
        <w:tblW w:w="145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505"/>
      </w:tblGrid>
      <w:tr w14:paraId="6B0D0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90" w:hRule="atLeast"/>
          <w:tblHeader/>
        </w:trPr>
        <w:tc>
          <w:tcPr>
            <w:tcW w:w="1450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57699B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i w:val="0"/>
                <w:color w:val="auto"/>
                <w:kern w:val="0"/>
                <w:sz w:val="18"/>
                <w:szCs w:val="18"/>
                <w:u w:val="none"/>
                <w:lang w:val="en-US" w:eastAsia="zh-CN" w:bidi="ar"/>
              </w:rPr>
              <w:t>使用说明：</w:t>
            </w:r>
            <w:r>
              <w:rPr>
                <w:rFonts w:hint="eastAsia" w:ascii="仿宋_GB2312" w:hAnsi="仿宋_GB2312" w:eastAsia="仿宋_GB2312" w:cs="仿宋_GB2312"/>
                <w:i w:val="0"/>
                <w:color w:val="auto"/>
                <w:kern w:val="0"/>
                <w:sz w:val="18"/>
                <w:szCs w:val="18"/>
                <w:u w:val="none"/>
                <w:lang w:val="en-US" w:eastAsia="zh-CN" w:bidi="ar"/>
              </w:rPr>
              <w:br w:type="textWrapping"/>
            </w:r>
            <w:r>
              <w:rPr>
                <w:rFonts w:hint="eastAsia" w:ascii="仿宋_GB2312" w:hAnsi="仿宋_GB2312" w:eastAsia="仿宋_GB2312" w:cs="仿宋_GB2312"/>
                <w:i w:val="0"/>
                <w:color w:val="auto"/>
                <w:kern w:val="0"/>
                <w:sz w:val="18"/>
                <w:szCs w:val="18"/>
                <w:u w:val="none"/>
                <w:lang w:val="en-US" w:eastAsia="zh-CN" w:bidi="ar"/>
              </w:rPr>
              <w:t>1.本指南以护理为重点，按照分级护理、专科护理、专项护理分类设立价格项目。根据《深化医疗服务价格改革试点方案》（医保发〔2021〕41号）“厘清价格项目与临床诊疗技术规范、医疗机构成本要素、不同应用场景和收费标准等的政策边界。分类整合现行价格项目，实现价格项目与操作步骤、诊疗部位等技术细节脱钩，增强现行价格项目对医疗技术和医疗活动改良创新的兼容性”要求，各类护理类项目在操作层面存在差异，但在价格项目和定价水平层面具备合并同类项的条件，立项指南对目前常用的护理类项目进行了合并。地方医保部门制定“护理类”医疗服务项目价格时，要充分体现技术劳务价值，使收费水平覆盖绝大部分护理类项目，使整合前后的护理类项目收费水平大体相当，后期结合国家部署和动态调整工作，逐步疏导价格矛盾；医疗服务的政府指导价为最高限价，下浮不限；同时，医疗机构、医务人员实施护理过程中有关创新改良，采取“现有项目兼容”的方式简化处理，无需申报新增医疗服务价格项目，直接按照对应的整合项目执行即可。</w:t>
            </w:r>
            <w:r>
              <w:rPr>
                <w:rFonts w:hint="eastAsia" w:ascii="仿宋_GB2312" w:hAnsi="仿宋_GB2312" w:eastAsia="仿宋_GB2312" w:cs="仿宋_GB2312"/>
                <w:i w:val="0"/>
                <w:color w:val="auto"/>
                <w:kern w:val="0"/>
                <w:sz w:val="18"/>
                <w:szCs w:val="18"/>
                <w:u w:val="none"/>
                <w:lang w:val="en-US" w:eastAsia="zh-CN" w:bidi="ar"/>
              </w:rPr>
              <w:br w:type="textWrapping"/>
            </w:r>
            <w:r>
              <w:rPr>
                <w:rFonts w:hint="eastAsia" w:ascii="仿宋_GB2312" w:hAnsi="仿宋_GB2312" w:eastAsia="仿宋_GB2312" w:cs="仿宋_GB2312"/>
                <w:i w:val="0"/>
                <w:color w:val="auto"/>
                <w:kern w:val="0"/>
                <w:sz w:val="18"/>
                <w:szCs w:val="18"/>
                <w:u w:val="none"/>
                <w:lang w:val="en-US" w:eastAsia="zh-CN" w:bidi="ar"/>
              </w:rPr>
              <w:t>2.本指南所称的“价格构成”，指项目价格应涵盖的各类资源消耗，用于确定计价单元的边界，是各级医疗保障部门制定调整项目价格考虑的测算因子，不应作为临床技术标准理解，不是实际操作方式、路径、步骤、程序的强制性要求，价格构成中包含，但个别临床实践中非必要、未发生的，无需强制要求公立医疗机构减计费用。所列“设备投入”包括但不限于操作设备、器具及固定资产投入。</w:t>
            </w:r>
            <w:r>
              <w:rPr>
                <w:rFonts w:hint="eastAsia" w:ascii="仿宋_GB2312" w:hAnsi="仿宋_GB2312" w:eastAsia="仿宋_GB2312" w:cs="仿宋_GB2312"/>
                <w:i w:val="0"/>
                <w:color w:val="auto"/>
                <w:kern w:val="0"/>
                <w:sz w:val="18"/>
                <w:szCs w:val="18"/>
                <w:u w:val="none"/>
                <w:lang w:val="en-US" w:eastAsia="zh-CN" w:bidi="ar"/>
              </w:rPr>
              <w:br w:type="textWrapping"/>
            </w:r>
            <w:r>
              <w:rPr>
                <w:rFonts w:hint="eastAsia" w:ascii="仿宋_GB2312" w:hAnsi="仿宋_GB2312" w:eastAsia="仿宋_GB2312" w:cs="仿宋_GB2312"/>
                <w:i w:val="0"/>
                <w:color w:val="auto"/>
                <w:kern w:val="0"/>
                <w:sz w:val="18"/>
                <w:szCs w:val="18"/>
                <w:u w:val="none"/>
                <w:lang w:val="en-US" w:eastAsia="zh-CN" w:bidi="ar"/>
              </w:rPr>
              <w:t>3.本指南所称“加收项”，指同一项目以不同方式提供或在不同场景应用时，确有必要制定差异化收费标准而细分的一类子项，包括在原项目价格基础上增加或减少收费的情况，具体的加/减收标准（加/减收率或加/减收金额）由各地依权限制定；实际应用中，同时涉及多个加收项的，以项目单价为基础计算相应的加/减收水平后，据实收费。</w:t>
            </w:r>
            <w:r>
              <w:rPr>
                <w:rFonts w:hint="eastAsia" w:ascii="仿宋_GB2312" w:hAnsi="仿宋_GB2312" w:eastAsia="仿宋_GB2312" w:cs="仿宋_GB2312"/>
                <w:i w:val="0"/>
                <w:color w:val="auto"/>
                <w:kern w:val="0"/>
                <w:sz w:val="18"/>
                <w:szCs w:val="18"/>
                <w:u w:val="none"/>
                <w:lang w:val="en-US" w:eastAsia="zh-CN" w:bidi="ar"/>
              </w:rPr>
              <w:br w:type="textWrapping"/>
            </w:r>
            <w:r>
              <w:rPr>
                <w:rFonts w:hint="eastAsia" w:ascii="仿宋_GB2312" w:hAnsi="仿宋_GB2312" w:eastAsia="仿宋_GB2312" w:cs="仿宋_GB2312"/>
                <w:i w:val="0"/>
                <w:color w:val="auto"/>
                <w:kern w:val="0"/>
                <w:sz w:val="18"/>
                <w:szCs w:val="18"/>
                <w:u w:val="none"/>
                <w:lang w:val="en-US" w:eastAsia="zh-CN" w:bidi="ar"/>
              </w:rPr>
              <w:t>4.本指南所称“扩展项”，指同一项目下以不同方式提供或在不同场景应用时，只扩展价格项目适用范围、不额外加价的一类子项，子项的价格按主项目执行。</w:t>
            </w:r>
            <w:r>
              <w:rPr>
                <w:rFonts w:hint="eastAsia" w:ascii="仿宋_GB2312" w:hAnsi="仿宋_GB2312" w:eastAsia="仿宋_GB2312" w:cs="仿宋_GB2312"/>
                <w:i w:val="0"/>
                <w:color w:val="auto"/>
                <w:kern w:val="0"/>
                <w:sz w:val="18"/>
                <w:szCs w:val="18"/>
                <w:u w:val="none"/>
                <w:lang w:val="en-US" w:eastAsia="zh-CN" w:bidi="ar"/>
              </w:rPr>
              <w:br w:type="textWrapping"/>
            </w:r>
            <w:r>
              <w:rPr>
                <w:rFonts w:hint="eastAsia" w:ascii="仿宋_GB2312" w:hAnsi="仿宋_GB2312" w:eastAsia="仿宋_GB2312" w:cs="仿宋_GB2312"/>
                <w:i w:val="0"/>
                <w:color w:val="auto"/>
                <w:kern w:val="0"/>
                <w:sz w:val="18"/>
                <w:szCs w:val="18"/>
                <w:u w:val="none"/>
                <w:lang w:val="en-US" w:eastAsia="zh-CN" w:bidi="ar"/>
              </w:rPr>
              <w:t>5.本指南所称“基本物质资源消耗”，指原则上限于不应或不必要与医疗服务项目分割的易耗品，包括但不限于各类消毒用品、储存用品、清洁用品、个人防护用品、标签、垃圾处理用品、冲洗液、润滑剂、压舌板、滑石粉、治疗巾（单）、棉球、棉签、纱布（垫）、普通绷带、固定带、治疗护理盘（包）、注射器、护（尿）垫、中单、冲洗工具、备皮工具、牙垫等。基本物质资源消耗成本计入项目价格，不另行收费。除基本物质资源消耗以外的其他耗材，按照实际采购价格零差率销售。</w:t>
            </w:r>
            <w:r>
              <w:rPr>
                <w:rFonts w:hint="eastAsia" w:ascii="仿宋_GB2312" w:hAnsi="仿宋_GB2312" w:eastAsia="仿宋_GB2312" w:cs="仿宋_GB2312"/>
                <w:i w:val="0"/>
                <w:color w:val="auto"/>
                <w:kern w:val="0"/>
                <w:sz w:val="18"/>
                <w:szCs w:val="18"/>
                <w:u w:val="none"/>
                <w:lang w:val="en-US" w:eastAsia="zh-CN" w:bidi="ar"/>
              </w:rPr>
              <w:br w:type="textWrapping"/>
            </w:r>
            <w:r>
              <w:rPr>
                <w:rFonts w:hint="eastAsia" w:ascii="仿宋_GB2312" w:hAnsi="仿宋_GB2312" w:eastAsia="仿宋_GB2312" w:cs="仿宋_GB2312"/>
                <w:i w:val="0"/>
                <w:color w:val="auto"/>
                <w:kern w:val="0"/>
                <w:sz w:val="18"/>
                <w:szCs w:val="18"/>
                <w:u w:val="none"/>
                <w:lang w:val="en-US" w:eastAsia="zh-CN" w:bidi="ar"/>
              </w:rPr>
              <w:t>6.本指南中的“分级护理”含一般传染病护理，纳入价格构成中，不再单独计费。</w:t>
            </w:r>
            <w:r>
              <w:rPr>
                <w:rFonts w:hint="eastAsia" w:ascii="仿宋_GB2312" w:hAnsi="仿宋_GB2312" w:eastAsia="仿宋_GB2312" w:cs="仿宋_GB2312"/>
                <w:i w:val="0"/>
                <w:color w:val="auto"/>
                <w:kern w:val="0"/>
                <w:sz w:val="18"/>
                <w:szCs w:val="18"/>
                <w:u w:val="none"/>
                <w:lang w:val="en-US" w:eastAsia="zh-CN" w:bidi="ar"/>
              </w:rPr>
              <w:br w:type="textWrapping"/>
            </w:r>
            <w:r>
              <w:rPr>
                <w:rFonts w:hint="eastAsia" w:ascii="仿宋_GB2312" w:hAnsi="仿宋_GB2312" w:eastAsia="仿宋_GB2312" w:cs="仿宋_GB2312"/>
                <w:i w:val="0"/>
                <w:color w:val="auto"/>
                <w:kern w:val="0"/>
                <w:sz w:val="18"/>
                <w:szCs w:val="18"/>
                <w:u w:val="none"/>
                <w:lang w:val="en-US" w:eastAsia="zh-CN" w:bidi="ar"/>
              </w:rPr>
              <w:t>7.本指南中的“分级护理”中的评估，包括但不限于压疮风险评估、跌倒/坠床风险评估、静脉血栓风险评估、日常生活能力评定、疼痛综合评定、营养风险筛查、呛咳风险评估等相关护理评估，已纳入价格构成，不作为临床量表单独立项，不额外计入收费。</w:t>
            </w:r>
            <w:r>
              <w:rPr>
                <w:rFonts w:hint="eastAsia" w:ascii="仿宋_GB2312" w:hAnsi="仿宋_GB2312" w:eastAsia="仿宋_GB2312" w:cs="仿宋_GB2312"/>
                <w:i w:val="0"/>
                <w:color w:val="auto"/>
                <w:kern w:val="0"/>
                <w:sz w:val="18"/>
                <w:szCs w:val="18"/>
                <w:u w:val="none"/>
                <w:lang w:val="en-US" w:eastAsia="zh-CN" w:bidi="ar"/>
              </w:rPr>
              <w:br w:type="textWrapping"/>
            </w:r>
            <w:r>
              <w:rPr>
                <w:rFonts w:hint="eastAsia" w:ascii="仿宋_GB2312" w:hAnsi="仿宋_GB2312" w:eastAsia="仿宋_GB2312" w:cs="仿宋_GB2312"/>
                <w:i w:val="0"/>
                <w:color w:val="auto"/>
                <w:kern w:val="0"/>
                <w:sz w:val="18"/>
                <w:szCs w:val="18"/>
                <w:u w:val="none"/>
                <w:lang w:val="en-US" w:eastAsia="zh-CN" w:bidi="ar"/>
              </w:rPr>
              <w:t>8.本指南中，对“互联网+护理服务”不单设医疗服务价格项目，按照“上门服务费+护理项目价格”的方式计费。</w:t>
            </w:r>
            <w:r>
              <w:rPr>
                <w:rFonts w:hint="eastAsia" w:ascii="仿宋_GB2312" w:hAnsi="仿宋_GB2312" w:eastAsia="仿宋_GB2312" w:cs="仿宋_GB2312"/>
                <w:i w:val="0"/>
                <w:color w:val="auto"/>
                <w:kern w:val="0"/>
                <w:sz w:val="18"/>
                <w:szCs w:val="18"/>
                <w:u w:val="none"/>
                <w:lang w:val="en-US" w:eastAsia="zh-CN" w:bidi="ar"/>
              </w:rPr>
              <w:br w:type="textWrapping"/>
            </w:r>
            <w:r>
              <w:rPr>
                <w:rFonts w:hint="eastAsia" w:ascii="仿宋_GB2312" w:hAnsi="仿宋_GB2312" w:eastAsia="仿宋_GB2312" w:cs="仿宋_GB2312"/>
                <w:i w:val="0"/>
                <w:color w:val="auto"/>
                <w:kern w:val="0"/>
                <w:sz w:val="18"/>
                <w:szCs w:val="18"/>
                <w:u w:val="none"/>
                <w:lang w:val="en-US" w:eastAsia="zh-CN" w:bidi="ar"/>
              </w:rPr>
              <w:t>9.本指南中涉及“包括……”“……等”的，属于开放型表述，所指对象不仅局限于表述中列明的事项，也包括未列明的同类事项。</w:t>
            </w:r>
            <w:r>
              <w:rPr>
                <w:rFonts w:hint="eastAsia" w:ascii="仿宋_GB2312" w:hAnsi="仿宋_GB2312" w:eastAsia="仿宋_GB2312" w:cs="仿宋_GB2312"/>
                <w:i w:val="0"/>
                <w:color w:val="auto"/>
                <w:kern w:val="0"/>
                <w:sz w:val="18"/>
                <w:szCs w:val="18"/>
                <w:u w:val="none"/>
                <w:lang w:val="en-US" w:eastAsia="zh-CN" w:bidi="ar"/>
              </w:rPr>
              <w:br w:type="textWrapping"/>
            </w:r>
            <w:r>
              <w:rPr>
                <w:rFonts w:hint="eastAsia" w:ascii="仿宋_GB2312" w:hAnsi="仿宋_GB2312" w:eastAsia="仿宋_GB2312" w:cs="仿宋_GB2312"/>
                <w:i w:val="0"/>
                <w:color w:val="auto"/>
                <w:kern w:val="0"/>
                <w:sz w:val="18"/>
                <w:szCs w:val="18"/>
                <w:u w:val="none"/>
                <w:lang w:val="en-US" w:eastAsia="zh-CN" w:bidi="ar"/>
              </w:rPr>
              <w:t>10.本指南中，“管·日”指每日每管，即按照每日实际护理管路数量计费。如一名患者既行尿管护理又行胃肠减压管路护理，可按照“引流管护理”×2的方式计费，并在医嘱中体现的，医疗机构可自行在收费单据中备注，方便患方理解。</w:t>
            </w:r>
            <w:r>
              <w:rPr>
                <w:rFonts w:hint="eastAsia" w:ascii="仿宋_GB2312" w:hAnsi="仿宋_GB2312" w:eastAsia="仿宋_GB2312" w:cs="仿宋_GB2312"/>
                <w:i w:val="0"/>
                <w:color w:val="auto"/>
                <w:kern w:val="0"/>
                <w:sz w:val="18"/>
                <w:szCs w:val="18"/>
                <w:u w:val="none"/>
                <w:lang w:val="en-US" w:eastAsia="zh-CN" w:bidi="ar"/>
              </w:rPr>
              <w:br w:type="textWrapping"/>
            </w:r>
            <w:r>
              <w:rPr>
                <w:rFonts w:hint="eastAsia" w:ascii="仿宋_GB2312" w:hAnsi="仿宋_GB2312" w:eastAsia="仿宋_GB2312" w:cs="仿宋_GB2312"/>
                <w:i w:val="0"/>
                <w:color w:val="auto"/>
                <w:kern w:val="0"/>
                <w:sz w:val="18"/>
                <w:szCs w:val="18"/>
                <w:u w:val="none"/>
                <w:lang w:val="en-US" w:eastAsia="zh-CN" w:bidi="ar"/>
              </w:rPr>
              <w:t>11.除指南项目有特殊规定不能同时收取外，专科护理可以与分级护理、专项护理同时收取。</w:t>
            </w:r>
            <w:r>
              <w:rPr>
                <w:rFonts w:hint="eastAsia" w:ascii="仿宋_GB2312" w:hAnsi="仿宋_GB2312" w:eastAsia="仿宋_GB2312" w:cs="仿宋_GB2312"/>
                <w:i w:val="0"/>
                <w:color w:val="auto"/>
                <w:kern w:val="0"/>
                <w:sz w:val="18"/>
                <w:szCs w:val="18"/>
                <w:u w:val="none"/>
                <w:lang w:val="en-US" w:eastAsia="zh-CN" w:bidi="ar"/>
              </w:rPr>
              <w:br w:type="textWrapping"/>
            </w:r>
            <w:r>
              <w:rPr>
                <w:rFonts w:hint="eastAsia" w:ascii="仿宋_GB2312" w:hAnsi="仿宋_GB2312" w:eastAsia="仿宋_GB2312" w:cs="仿宋_GB2312"/>
                <w:i w:val="0"/>
                <w:color w:val="auto"/>
                <w:kern w:val="0"/>
                <w:sz w:val="18"/>
                <w:szCs w:val="18"/>
                <w:u w:val="none"/>
                <w:lang w:val="en-US" w:eastAsia="zh-CN" w:bidi="ar"/>
              </w:rPr>
              <w:t>12.</w:t>
            </w:r>
            <w:r>
              <w:rPr>
                <w:rStyle w:val="17"/>
                <w:rFonts w:hint="eastAsia" w:ascii="仿宋_GB2312" w:hAnsi="仿宋_GB2312" w:eastAsia="仿宋_GB2312" w:cs="仿宋_GB2312"/>
                <w:color w:val="auto"/>
                <w:sz w:val="18"/>
                <w:szCs w:val="18"/>
                <w:lang w:val="en-US" w:eastAsia="zh-CN" w:bidi="ar"/>
              </w:rPr>
              <w:t>按日收取的各项护理费用，计入不计出，即入院当天按一天计算收费,出院当天不计算收费。当日入院当日出院的，当日可按“日”收取分级护理费用。</w:t>
            </w:r>
          </w:p>
        </w:tc>
      </w:tr>
    </w:tbl>
    <w:tbl>
      <w:tblPr>
        <w:tblStyle w:val="10"/>
        <w:tblW w:w="14565"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30"/>
        <w:gridCol w:w="638"/>
        <w:gridCol w:w="1035"/>
        <w:gridCol w:w="1050"/>
        <w:gridCol w:w="2355"/>
        <w:gridCol w:w="3495"/>
        <w:gridCol w:w="675"/>
        <w:gridCol w:w="1890"/>
        <w:gridCol w:w="750"/>
        <w:gridCol w:w="780"/>
        <w:gridCol w:w="795"/>
        <w:gridCol w:w="672"/>
      </w:tblGrid>
      <w:tr w14:paraId="5FD74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5" w:hRule="atLeast"/>
          <w:tblHeader/>
        </w:trPr>
        <w:tc>
          <w:tcPr>
            <w:tcW w:w="430" w:type="dxa"/>
            <w:shd w:val="clear" w:color="auto" w:fill="auto"/>
            <w:vAlign w:val="center"/>
          </w:tcPr>
          <w:p w14:paraId="525B05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序号</w:t>
            </w:r>
          </w:p>
        </w:tc>
        <w:tc>
          <w:tcPr>
            <w:tcW w:w="638" w:type="dxa"/>
            <w:shd w:val="clear" w:color="auto" w:fill="auto"/>
            <w:vAlign w:val="center"/>
          </w:tcPr>
          <w:p w14:paraId="3A91310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归集</w:t>
            </w:r>
            <w:r>
              <w:rPr>
                <w:rFonts w:hint="eastAsia" w:ascii="黑体" w:hAnsi="黑体" w:eastAsia="黑体" w:cs="黑体"/>
                <w:i w:val="0"/>
                <w:iCs w:val="0"/>
                <w:color w:val="000000"/>
                <w:kern w:val="0"/>
                <w:sz w:val="20"/>
                <w:szCs w:val="20"/>
                <w:u w:val="none"/>
                <w:lang w:val="en-US" w:eastAsia="zh-CN" w:bidi="ar"/>
              </w:rPr>
              <w:br w:type="textWrapping"/>
            </w:r>
            <w:r>
              <w:rPr>
                <w:rFonts w:hint="eastAsia" w:ascii="黑体" w:hAnsi="黑体" w:eastAsia="黑体" w:cs="黑体"/>
                <w:i w:val="0"/>
                <w:iCs w:val="0"/>
                <w:color w:val="000000"/>
                <w:kern w:val="0"/>
                <w:sz w:val="20"/>
                <w:szCs w:val="20"/>
                <w:u w:val="none"/>
                <w:lang w:val="en-US" w:eastAsia="zh-CN" w:bidi="ar"/>
              </w:rPr>
              <w:t>口径</w:t>
            </w:r>
          </w:p>
        </w:tc>
        <w:tc>
          <w:tcPr>
            <w:tcW w:w="1035" w:type="dxa"/>
            <w:shd w:val="clear" w:color="auto" w:fill="auto"/>
            <w:vAlign w:val="center"/>
          </w:tcPr>
          <w:p w14:paraId="1B627B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项目</w:t>
            </w:r>
            <w:r>
              <w:rPr>
                <w:rFonts w:hint="eastAsia" w:ascii="黑体" w:hAnsi="黑体" w:eastAsia="黑体" w:cs="黑体"/>
                <w:i w:val="0"/>
                <w:iCs w:val="0"/>
                <w:color w:val="000000"/>
                <w:kern w:val="0"/>
                <w:sz w:val="20"/>
                <w:szCs w:val="20"/>
                <w:u w:val="none"/>
                <w:lang w:val="en-US" w:eastAsia="zh-CN" w:bidi="ar"/>
              </w:rPr>
              <w:br w:type="textWrapping"/>
            </w:r>
            <w:r>
              <w:rPr>
                <w:rFonts w:hint="eastAsia" w:ascii="黑体" w:hAnsi="黑体" w:eastAsia="黑体" w:cs="黑体"/>
                <w:i w:val="0"/>
                <w:iCs w:val="0"/>
                <w:color w:val="000000"/>
                <w:kern w:val="0"/>
                <w:sz w:val="20"/>
                <w:szCs w:val="20"/>
                <w:u w:val="none"/>
                <w:lang w:val="en-US" w:eastAsia="zh-CN" w:bidi="ar"/>
              </w:rPr>
              <w:t>代码</w:t>
            </w:r>
          </w:p>
        </w:tc>
        <w:tc>
          <w:tcPr>
            <w:tcW w:w="1050" w:type="dxa"/>
            <w:shd w:val="clear" w:color="auto" w:fill="auto"/>
            <w:vAlign w:val="center"/>
          </w:tcPr>
          <w:p w14:paraId="0889D3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项目名称</w:t>
            </w:r>
          </w:p>
        </w:tc>
        <w:tc>
          <w:tcPr>
            <w:tcW w:w="2355" w:type="dxa"/>
            <w:shd w:val="clear" w:color="auto" w:fill="auto"/>
            <w:vAlign w:val="center"/>
          </w:tcPr>
          <w:p w14:paraId="02E50C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服务产出</w:t>
            </w:r>
          </w:p>
        </w:tc>
        <w:tc>
          <w:tcPr>
            <w:tcW w:w="3495" w:type="dxa"/>
            <w:shd w:val="clear" w:color="auto" w:fill="auto"/>
            <w:vAlign w:val="center"/>
          </w:tcPr>
          <w:p w14:paraId="5B6217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价格构成</w:t>
            </w:r>
          </w:p>
        </w:tc>
        <w:tc>
          <w:tcPr>
            <w:tcW w:w="675" w:type="dxa"/>
            <w:shd w:val="clear" w:color="auto" w:fill="auto"/>
            <w:vAlign w:val="center"/>
          </w:tcPr>
          <w:p w14:paraId="5B3818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计价单位</w:t>
            </w:r>
          </w:p>
        </w:tc>
        <w:tc>
          <w:tcPr>
            <w:tcW w:w="1890" w:type="dxa"/>
            <w:shd w:val="clear" w:color="auto" w:fill="auto"/>
            <w:vAlign w:val="center"/>
          </w:tcPr>
          <w:p w14:paraId="6B49C3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计价说明</w:t>
            </w:r>
          </w:p>
        </w:tc>
        <w:tc>
          <w:tcPr>
            <w:tcW w:w="750" w:type="dxa"/>
            <w:shd w:val="clear" w:color="auto" w:fill="auto"/>
            <w:vAlign w:val="center"/>
          </w:tcPr>
          <w:p w14:paraId="151763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三级价格（元）</w:t>
            </w:r>
          </w:p>
        </w:tc>
        <w:tc>
          <w:tcPr>
            <w:tcW w:w="780" w:type="dxa"/>
            <w:shd w:val="clear" w:color="auto" w:fill="auto"/>
            <w:vAlign w:val="center"/>
          </w:tcPr>
          <w:p w14:paraId="14A4C6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二级价格（元）</w:t>
            </w:r>
          </w:p>
        </w:tc>
        <w:tc>
          <w:tcPr>
            <w:tcW w:w="795" w:type="dxa"/>
            <w:shd w:val="clear" w:color="auto" w:fill="auto"/>
            <w:vAlign w:val="center"/>
          </w:tcPr>
          <w:p w14:paraId="5BBCB5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一级价格（元）</w:t>
            </w:r>
          </w:p>
        </w:tc>
        <w:tc>
          <w:tcPr>
            <w:tcW w:w="672" w:type="dxa"/>
            <w:shd w:val="clear" w:color="auto" w:fill="auto"/>
            <w:vAlign w:val="center"/>
          </w:tcPr>
          <w:p w14:paraId="6C566E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医保支付类别</w:t>
            </w:r>
          </w:p>
        </w:tc>
      </w:tr>
      <w:tr w14:paraId="6219C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14565" w:type="dxa"/>
            <w:gridSpan w:val="12"/>
            <w:shd w:val="clear" w:color="auto" w:fill="auto"/>
            <w:vAlign w:val="center"/>
          </w:tcPr>
          <w:p w14:paraId="5D3B51B7">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分级护理</w:t>
            </w:r>
          </w:p>
        </w:tc>
      </w:tr>
      <w:tr w14:paraId="0333C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701" w:hRule="atLeast"/>
        </w:trPr>
        <w:tc>
          <w:tcPr>
            <w:tcW w:w="430" w:type="dxa"/>
            <w:shd w:val="clear" w:color="auto" w:fill="auto"/>
            <w:vAlign w:val="center"/>
          </w:tcPr>
          <w:p w14:paraId="1701D4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w:t>
            </w:r>
          </w:p>
        </w:tc>
        <w:tc>
          <w:tcPr>
            <w:tcW w:w="638" w:type="dxa"/>
            <w:shd w:val="clear" w:color="auto" w:fill="auto"/>
            <w:vAlign w:val="center"/>
          </w:tcPr>
          <w:p w14:paraId="3BE121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护理费</w:t>
            </w:r>
          </w:p>
        </w:tc>
        <w:tc>
          <w:tcPr>
            <w:tcW w:w="1035" w:type="dxa"/>
            <w:shd w:val="clear" w:color="auto" w:fill="auto"/>
            <w:vAlign w:val="center"/>
          </w:tcPr>
          <w:p w14:paraId="255898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011301000010000</w:t>
            </w:r>
          </w:p>
        </w:tc>
        <w:tc>
          <w:tcPr>
            <w:tcW w:w="1050" w:type="dxa"/>
            <w:shd w:val="clear" w:color="auto" w:fill="auto"/>
            <w:vAlign w:val="center"/>
          </w:tcPr>
          <w:p w14:paraId="2B7F61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特级护理</w:t>
            </w:r>
          </w:p>
        </w:tc>
        <w:tc>
          <w:tcPr>
            <w:tcW w:w="2355" w:type="dxa"/>
            <w:shd w:val="clear" w:color="auto" w:fill="auto"/>
            <w:vAlign w:val="center"/>
          </w:tcPr>
          <w:p w14:paraId="16E83D7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指为病情危重，随时可能发生病情变化需要进行监护、抢救的患者；各种复杂或大手术后、严重创伤或大面积烧伤的患者提供的相关护理。</w:t>
            </w:r>
          </w:p>
        </w:tc>
        <w:tc>
          <w:tcPr>
            <w:tcW w:w="3495" w:type="dxa"/>
            <w:shd w:val="clear" w:color="auto" w:fill="auto"/>
            <w:vAlign w:val="center"/>
          </w:tcPr>
          <w:p w14:paraId="32304DC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所定价格涵盖观察病情及生命体征、制定护理措施、根据医嘱正确实施治疗用药、评估、评定、记出入量、书写护理记录、辅助实施生活护理、口腔护理、皮肤清洁、会阴护理、肛周护理、叩背护理、眼部护理、心理护理、给予患者舒适和功能体位、预防并发症、实施床旁交接班、健康指导等所需的人力资源和基本物质资源消耗。不含其他专项护理。</w:t>
            </w:r>
          </w:p>
        </w:tc>
        <w:tc>
          <w:tcPr>
            <w:tcW w:w="675" w:type="dxa"/>
            <w:shd w:val="clear" w:color="auto" w:fill="auto"/>
            <w:vAlign w:val="center"/>
          </w:tcPr>
          <w:p w14:paraId="062D94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日</w:t>
            </w:r>
          </w:p>
        </w:tc>
        <w:tc>
          <w:tcPr>
            <w:tcW w:w="1890" w:type="dxa"/>
            <w:shd w:val="clear" w:color="auto" w:fill="auto"/>
            <w:vAlign w:val="center"/>
          </w:tcPr>
          <w:p w14:paraId="5013D9E2">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儿童加收30%。</w:t>
            </w:r>
          </w:p>
        </w:tc>
        <w:tc>
          <w:tcPr>
            <w:tcW w:w="750" w:type="dxa"/>
            <w:shd w:val="clear" w:color="auto" w:fill="auto"/>
            <w:vAlign w:val="center"/>
          </w:tcPr>
          <w:p w14:paraId="1F7422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176</w:t>
            </w:r>
          </w:p>
        </w:tc>
        <w:tc>
          <w:tcPr>
            <w:tcW w:w="780" w:type="dxa"/>
            <w:shd w:val="clear" w:color="auto" w:fill="auto"/>
            <w:vAlign w:val="center"/>
          </w:tcPr>
          <w:p w14:paraId="5571B4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158.4</w:t>
            </w:r>
          </w:p>
        </w:tc>
        <w:tc>
          <w:tcPr>
            <w:tcW w:w="795" w:type="dxa"/>
            <w:shd w:val="clear" w:color="auto" w:fill="auto"/>
            <w:vAlign w:val="center"/>
          </w:tcPr>
          <w:p w14:paraId="34FADA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140.8</w:t>
            </w:r>
          </w:p>
        </w:tc>
        <w:tc>
          <w:tcPr>
            <w:tcW w:w="672" w:type="dxa"/>
            <w:shd w:val="clear" w:color="auto" w:fill="auto"/>
            <w:vAlign w:val="center"/>
          </w:tcPr>
          <w:p w14:paraId="56DA39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乙类</w:t>
            </w:r>
          </w:p>
        </w:tc>
      </w:tr>
      <w:tr w14:paraId="634C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53" w:hRule="atLeast"/>
        </w:trPr>
        <w:tc>
          <w:tcPr>
            <w:tcW w:w="430" w:type="dxa"/>
            <w:shd w:val="clear" w:color="auto" w:fill="auto"/>
            <w:vAlign w:val="center"/>
          </w:tcPr>
          <w:p w14:paraId="0EB828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2</w:t>
            </w:r>
          </w:p>
        </w:tc>
        <w:tc>
          <w:tcPr>
            <w:tcW w:w="638" w:type="dxa"/>
            <w:shd w:val="clear" w:color="auto" w:fill="auto"/>
            <w:vAlign w:val="center"/>
          </w:tcPr>
          <w:p w14:paraId="0AFCDB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护理费</w:t>
            </w:r>
          </w:p>
        </w:tc>
        <w:tc>
          <w:tcPr>
            <w:tcW w:w="1035" w:type="dxa"/>
            <w:shd w:val="clear" w:color="auto" w:fill="auto"/>
            <w:vAlign w:val="center"/>
          </w:tcPr>
          <w:p w14:paraId="4AB8CA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011301000010001</w:t>
            </w:r>
          </w:p>
        </w:tc>
        <w:tc>
          <w:tcPr>
            <w:tcW w:w="1050" w:type="dxa"/>
            <w:shd w:val="clear" w:color="auto" w:fill="auto"/>
            <w:vAlign w:val="center"/>
          </w:tcPr>
          <w:p w14:paraId="1179F3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特级护理-儿童（加收）</w:t>
            </w:r>
          </w:p>
        </w:tc>
        <w:tc>
          <w:tcPr>
            <w:tcW w:w="2355" w:type="dxa"/>
            <w:shd w:val="clear" w:color="auto" w:fill="auto"/>
            <w:vAlign w:val="center"/>
          </w:tcPr>
          <w:p w14:paraId="0C13850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指为病情危重，随时可能发生病情变化需要进行监护、抢救的患者；各种复杂或大手术后、严重创伤或大面积烧伤的患者提供的相关护理。</w:t>
            </w:r>
          </w:p>
        </w:tc>
        <w:tc>
          <w:tcPr>
            <w:tcW w:w="3495" w:type="dxa"/>
            <w:shd w:val="clear" w:color="auto" w:fill="auto"/>
            <w:vAlign w:val="center"/>
          </w:tcPr>
          <w:p w14:paraId="02A5B255">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iCs w:val="0"/>
                <w:color w:val="000000"/>
                <w:sz w:val="20"/>
                <w:szCs w:val="20"/>
                <w:u w:val="none"/>
              </w:rPr>
            </w:pPr>
          </w:p>
        </w:tc>
        <w:tc>
          <w:tcPr>
            <w:tcW w:w="675" w:type="dxa"/>
            <w:shd w:val="clear" w:color="auto" w:fill="auto"/>
            <w:vAlign w:val="center"/>
          </w:tcPr>
          <w:p w14:paraId="6F3277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日</w:t>
            </w:r>
          </w:p>
        </w:tc>
        <w:tc>
          <w:tcPr>
            <w:tcW w:w="1890" w:type="dxa"/>
            <w:shd w:val="clear" w:color="auto" w:fill="auto"/>
            <w:vAlign w:val="center"/>
          </w:tcPr>
          <w:p w14:paraId="102373E8">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iCs w:val="0"/>
                <w:color w:val="000000"/>
                <w:sz w:val="20"/>
                <w:szCs w:val="20"/>
                <w:u w:val="none"/>
              </w:rPr>
            </w:pPr>
          </w:p>
        </w:tc>
        <w:tc>
          <w:tcPr>
            <w:tcW w:w="750" w:type="dxa"/>
            <w:shd w:val="clear" w:color="auto" w:fill="auto"/>
            <w:vAlign w:val="center"/>
          </w:tcPr>
          <w:p w14:paraId="24FD21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52.8</w:t>
            </w:r>
          </w:p>
        </w:tc>
        <w:tc>
          <w:tcPr>
            <w:tcW w:w="780" w:type="dxa"/>
            <w:shd w:val="clear" w:color="auto" w:fill="auto"/>
            <w:vAlign w:val="center"/>
          </w:tcPr>
          <w:p w14:paraId="423F55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47.5</w:t>
            </w:r>
          </w:p>
        </w:tc>
        <w:tc>
          <w:tcPr>
            <w:tcW w:w="795" w:type="dxa"/>
            <w:shd w:val="clear" w:color="auto" w:fill="auto"/>
            <w:vAlign w:val="center"/>
          </w:tcPr>
          <w:p w14:paraId="59DF35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42.2</w:t>
            </w:r>
          </w:p>
        </w:tc>
        <w:tc>
          <w:tcPr>
            <w:tcW w:w="672" w:type="dxa"/>
            <w:shd w:val="clear" w:color="auto" w:fill="auto"/>
            <w:vAlign w:val="center"/>
          </w:tcPr>
          <w:p w14:paraId="236717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乙类</w:t>
            </w:r>
          </w:p>
        </w:tc>
      </w:tr>
      <w:tr w14:paraId="4163C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76" w:hRule="atLeast"/>
        </w:trPr>
        <w:tc>
          <w:tcPr>
            <w:tcW w:w="430" w:type="dxa"/>
            <w:shd w:val="clear" w:color="auto" w:fill="auto"/>
            <w:vAlign w:val="center"/>
          </w:tcPr>
          <w:p w14:paraId="3875B2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3</w:t>
            </w:r>
          </w:p>
        </w:tc>
        <w:tc>
          <w:tcPr>
            <w:tcW w:w="638" w:type="dxa"/>
            <w:shd w:val="clear" w:color="auto" w:fill="auto"/>
            <w:vAlign w:val="center"/>
          </w:tcPr>
          <w:p w14:paraId="73DBF3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护理费</w:t>
            </w:r>
          </w:p>
        </w:tc>
        <w:tc>
          <w:tcPr>
            <w:tcW w:w="1035" w:type="dxa"/>
            <w:shd w:val="clear" w:color="auto" w:fill="auto"/>
            <w:vAlign w:val="center"/>
          </w:tcPr>
          <w:p w14:paraId="519C8E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011301000020000</w:t>
            </w:r>
          </w:p>
        </w:tc>
        <w:tc>
          <w:tcPr>
            <w:tcW w:w="1050" w:type="dxa"/>
            <w:shd w:val="clear" w:color="auto" w:fill="auto"/>
            <w:vAlign w:val="center"/>
          </w:tcPr>
          <w:p w14:paraId="4880565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Ⅰ级护理</w:t>
            </w:r>
          </w:p>
        </w:tc>
        <w:tc>
          <w:tcPr>
            <w:tcW w:w="2355" w:type="dxa"/>
            <w:shd w:val="clear" w:color="auto" w:fill="auto"/>
            <w:vAlign w:val="center"/>
          </w:tcPr>
          <w:p w14:paraId="73BD53D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指为病情趋向稳定的重症患者；病情不稳定或随时可能发生变化的患者；手术后或者治疗期间需要严格卧床的患者；自理能力重度依赖的患者提供的相关护理。</w:t>
            </w:r>
          </w:p>
        </w:tc>
        <w:tc>
          <w:tcPr>
            <w:tcW w:w="3495" w:type="dxa"/>
            <w:shd w:val="clear" w:color="auto" w:fill="auto"/>
            <w:vAlign w:val="center"/>
          </w:tcPr>
          <w:p w14:paraId="2C1A511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所定价格涵盖观察病情及生命体征、制定护理措施、根据医嘱正确实施治疗用药、评估、评定、记出入量、书写护理记录、辅助实施生活护理、口腔护理、皮肤清洁、会阴护理、肛周护理、叩背护理、眼部护理、心理护理、给予患者舒适和功能体位、预防并发症、实施床旁交接班、健康指导等所需的人力资源和基本物质资源消耗。不含其他专项护理。</w:t>
            </w:r>
          </w:p>
        </w:tc>
        <w:tc>
          <w:tcPr>
            <w:tcW w:w="675" w:type="dxa"/>
            <w:shd w:val="clear" w:color="auto" w:fill="auto"/>
            <w:vAlign w:val="center"/>
          </w:tcPr>
          <w:p w14:paraId="42C2D2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日</w:t>
            </w:r>
          </w:p>
        </w:tc>
        <w:tc>
          <w:tcPr>
            <w:tcW w:w="1890" w:type="dxa"/>
            <w:shd w:val="clear" w:color="auto" w:fill="auto"/>
            <w:vAlign w:val="center"/>
          </w:tcPr>
          <w:p w14:paraId="434DEAF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儿童加收30%。</w:t>
            </w:r>
          </w:p>
        </w:tc>
        <w:tc>
          <w:tcPr>
            <w:tcW w:w="750" w:type="dxa"/>
            <w:shd w:val="clear" w:color="auto" w:fill="auto"/>
            <w:vAlign w:val="center"/>
          </w:tcPr>
          <w:p w14:paraId="6EE314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50</w:t>
            </w:r>
          </w:p>
        </w:tc>
        <w:tc>
          <w:tcPr>
            <w:tcW w:w="780" w:type="dxa"/>
            <w:shd w:val="clear" w:color="auto" w:fill="auto"/>
            <w:vAlign w:val="center"/>
          </w:tcPr>
          <w:p w14:paraId="6413B3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45</w:t>
            </w:r>
          </w:p>
        </w:tc>
        <w:tc>
          <w:tcPr>
            <w:tcW w:w="795" w:type="dxa"/>
            <w:shd w:val="clear" w:color="auto" w:fill="auto"/>
            <w:vAlign w:val="center"/>
          </w:tcPr>
          <w:p w14:paraId="596B7C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40</w:t>
            </w:r>
          </w:p>
        </w:tc>
        <w:tc>
          <w:tcPr>
            <w:tcW w:w="672" w:type="dxa"/>
            <w:shd w:val="clear" w:color="auto" w:fill="auto"/>
            <w:vAlign w:val="center"/>
          </w:tcPr>
          <w:p w14:paraId="34DF06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甲类</w:t>
            </w:r>
          </w:p>
        </w:tc>
      </w:tr>
      <w:tr w14:paraId="5A17D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3" w:hRule="atLeast"/>
        </w:trPr>
        <w:tc>
          <w:tcPr>
            <w:tcW w:w="430" w:type="dxa"/>
            <w:shd w:val="clear" w:color="auto" w:fill="auto"/>
            <w:vAlign w:val="center"/>
          </w:tcPr>
          <w:p w14:paraId="2BCA52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4</w:t>
            </w:r>
          </w:p>
        </w:tc>
        <w:tc>
          <w:tcPr>
            <w:tcW w:w="638" w:type="dxa"/>
            <w:shd w:val="clear" w:color="auto" w:fill="auto"/>
            <w:vAlign w:val="center"/>
          </w:tcPr>
          <w:p w14:paraId="7677F2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护理费</w:t>
            </w:r>
          </w:p>
        </w:tc>
        <w:tc>
          <w:tcPr>
            <w:tcW w:w="1035" w:type="dxa"/>
            <w:shd w:val="clear" w:color="auto" w:fill="auto"/>
            <w:vAlign w:val="center"/>
          </w:tcPr>
          <w:p w14:paraId="3F4537B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011301000020001</w:t>
            </w:r>
          </w:p>
        </w:tc>
        <w:tc>
          <w:tcPr>
            <w:tcW w:w="1050" w:type="dxa"/>
            <w:shd w:val="clear" w:color="auto" w:fill="auto"/>
            <w:vAlign w:val="center"/>
          </w:tcPr>
          <w:p w14:paraId="458DF3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Ⅰ级护理-儿童（加收）</w:t>
            </w:r>
          </w:p>
        </w:tc>
        <w:tc>
          <w:tcPr>
            <w:tcW w:w="2355" w:type="dxa"/>
            <w:shd w:val="clear" w:color="auto" w:fill="auto"/>
            <w:vAlign w:val="center"/>
          </w:tcPr>
          <w:p w14:paraId="73960EF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指为病情趋向稳定的重症患者；病情不稳定或随时可能发生变化的患者；手术后或者治疗期间需要严格卧床的患者；自理能力重度依赖的患者的患者提供的相关护理。</w:t>
            </w:r>
          </w:p>
        </w:tc>
        <w:tc>
          <w:tcPr>
            <w:tcW w:w="3495" w:type="dxa"/>
            <w:shd w:val="clear" w:color="auto" w:fill="auto"/>
            <w:vAlign w:val="center"/>
          </w:tcPr>
          <w:p w14:paraId="4AA7203E">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iCs w:val="0"/>
                <w:color w:val="000000"/>
                <w:sz w:val="20"/>
                <w:szCs w:val="20"/>
                <w:u w:val="none"/>
              </w:rPr>
            </w:pPr>
          </w:p>
        </w:tc>
        <w:tc>
          <w:tcPr>
            <w:tcW w:w="675" w:type="dxa"/>
            <w:shd w:val="clear" w:color="auto" w:fill="auto"/>
            <w:vAlign w:val="center"/>
          </w:tcPr>
          <w:p w14:paraId="4C4115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日</w:t>
            </w:r>
          </w:p>
        </w:tc>
        <w:tc>
          <w:tcPr>
            <w:tcW w:w="1890" w:type="dxa"/>
            <w:shd w:val="clear" w:color="auto" w:fill="auto"/>
            <w:vAlign w:val="center"/>
          </w:tcPr>
          <w:p w14:paraId="1E712E1F">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iCs w:val="0"/>
                <w:color w:val="000000"/>
                <w:sz w:val="20"/>
                <w:szCs w:val="20"/>
                <w:u w:val="none"/>
              </w:rPr>
            </w:pPr>
          </w:p>
        </w:tc>
        <w:tc>
          <w:tcPr>
            <w:tcW w:w="750" w:type="dxa"/>
            <w:shd w:val="clear" w:color="auto" w:fill="auto"/>
            <w:vAlign w:val="center"/>
          </w:tcPr>
          <w:p w14:paraId="29FDD0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15</w:t>
            </w:r>
          </w:p>
        </w:tc>
        <w:tc>
          <w:tcPr>
            <w:tcW w:w="780" w:type="dxa"/>
            <w:shd w:val="clear" w:color="auto" w:fill="auto"/>
            <w:vAlign w:val="center"/>
          </w:tcPr>
          <w:p w14:paraId="759DF6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13.5</w:t>
            </w:r>
          </w:p>
        </w:tc>
        <w:tc>
          <w:tcPr>
            <w:tcW w:w="795" w:type="dxa"/>
            <w:shd w:val="clear" w:color="auto" w:fill="auto"/>
            <w:vAlign w:val="center"/>
          </w:tcPr>
          <w:p w14:paraId="311D19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12</w:t>
            </w:r>
          </w:p>
        </w:tc>
        <w:tc>
          <w:tcPr>
            <w:tcW w:w="672" w:type="dxa"/>
            <w:shd w:val="clear" w:color="auto" w:fill="auto"/>
            <w:vAlign w:val="center"/>
          </w:tcPr>
          <w:p w14:paraId="189CBA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甲类</w:t>
            </w:r>
          </w:p>
        </w:tc>
      </w:tr>
      <w:tr w14:paraId="76F17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17" w:hRule="atLeast"/>
        </w:trPr>
        <w:tc>
          <w:tcPr>
            <w:tcW w:w="430" w:type="dxa"/>
            <w:shd w:val="clear" w:color="auto" w:fill="auto"/>
            <w:vAlign w:val="center"/>
          </w:tcPr>
          <w:p w14:paraId="391DE2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w:t>
            </w:r>
          </w:p>
        </w:tc>
        <w:tc>
          <w:tcPr>
            <w:tcW w:w="638" w:type="dxa"/>
            <w:shd w:val="clear" w:color="auto" w:fill="auto"/>
            <w:vAlign w:val="center"/>
          </w:tcPr>
          <w:p w14:paraId="5C9CC6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护理费</w:t>
            </w:r>
          </w:p>
        </w:tc>
        <w:tc>
          <w:tcPr>
            <w:tcW w:w="1035" w:type="dxa"/>
            <w:shd w:val="clear" w:color="auto" w:fill="auto"/>
            <w:vAlign w:val="center"/>
          </w:tcPr>
          <w:p w14:paraId="1E68F2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011301000030000</w:t>
            </w:r>
          </w:p>
        </w:tc>
        <w:tc>
          <w:tcPr>
            <w:tcW w:w="1050" w:type="dxa"/>
            <w:shd w:val="clear" w:color="auto" w:fill="auto"/>
            <w:vAlign w:val="center"/>
          </w:tcPr>
          <w:p w14:paraId="752120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Ⅱ级护理</w:t>
            </w:r>
          </w:p>
        </w:tc>
        <w:tc>
          <w:tcPr>
            <w:tcW w:w="2355" w:type="dxa"/>
            <w:shd w:val="clear" w:color="auto" w:fill="auto"/>
            <w:vAlign w:val="center"/>
          </w:tcPr>
          <w:p w14:paraId="6060A9D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指病情趋于稳定或未明确诊断前，仍需观察，且自理能力轻度依赖的患者；病情稳定，仍需卧床，且自理能力轻度依赖的患者；病情稳定或处于康复期，且自理能力中度依赖的患者提供的相关护理。</w:t>
            </w:r>
          </w:p>
        </w:tc>
        <w:tc>
          <w:tcPr>
            <w:tcW w:w="3495" w:type="dxa"/>
            <w:shd w:val="clear" w:color="auto" w:fill="auto"/>
            <w:vAlign w:val="center"/>
          </w:tcPr>
          <w:p w14:paraId="08EADE4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所定价格涵盖观察病情及生命体征、根据医嘱正确实施治疗用药、评估、评定、辅助实施生活护理、书写护理记录，皮肤清洁、心理护理、健康指导等所需的人力资源和基本物质资源消耗。不含专项护理。</w:t>
            </w:r>
          </w:p>
        </w:tc>
        <w:tc>
          <w:tcPr>
            <w:tcW w:w="675" w:type="dxa"/>
            <w:shd w:val="clear" w:color="auto" w:fill="auto"/>
            <w:vAlign w:val="center"/>
          </w:tcPr>
          <w:p w14:paraId="27B61C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日</w:t>
            </w:r>
          </w:p>
        </w:tc>
        <w:tc>
          <w:tcPr>
            <w:tcW w:w="1890" w:type="dxa"/>
            <w:shd w:val="clear" w:color="auto" w:fill="auto"/>
            <w:vAlign w:val="center"/>
          </w:tcPr>
          <w:p w14:paraId="397B801F">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iCs w:val="0"/>
                <w:color w:val="000000"/>
                <w:sz w:val="20"/>
                <w:szCs w:val="20"/>
                <w:u w:val="none"/>
              </w:rPr>
            </w:pPr>
          </w:p>
        </w:tc>
        <w:tc>
          <w:tcPr>
            <w:tcW w:w="750" w:type="dxa"/>
            <w:shd w:val="clear" w:color="auto" w:fill="auto"/>
            <w:vAlign w:val="center"/>
          </w:tcPr>
          <w:p w14:paraId="77D78E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30</w:t>
            </w:r>
          </w:p>
        </w:tc>
        <w:tc>
          <w:tcPr>
            <w:tcW w:w="780" w:type="dxa"/>
            <w:shd w:val="clear" w:color="auto" w:fill="auto"/>
            <w:vAlign w:val="center"/>
          </w:tcPr>
          <w:p w14:paraId="1B28A2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27</w:t>
            </w:r>
          </w:p>
        </w:tc>
        <w:tc>
          <w:tcPr>
            <w:tcW w:w="795" w:type="dxa"/>
            <w:shd w:val="clear" w:color="auto" w:fill="auto"/>
            <w:vAlign w:val="center"/>
          </w:tcPr>
          <w:p w14:paraId="68EB14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24</w:t>
            </w:r>
          </w:p>
        </w:tc>
        <w:tc>
          <w:tcPr>
            <w:tcW w:w="672" w:type="dxa"/>
            <w:shd w:val="clear" w:color="auto" w:fill="auto"/>
            <w:vAlign w:val="center"/>
          </w:tcPr>
          <w:p w14:paraId="317214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甲类</w:t>
            </w:r>
          </w:p>
        </w:tc>
      </w:tr>
      <w:tr w14:paraId="18B5F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80" w:hRule="atLeast"/>
        </w:trPr>
        <w:tc>
          <w:tcPr>
            <w:tcW w:w="430" w:type="dxa"/>
            <w:shd w:val="clear" w:color="auto" w:fill="auto"/>
            <w:vAlign w:val="center"/>
          </w:tcPr>
          <w:p w14:paraId="42F4C4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6</w:t>
            </w:r>
          </w:p>
        </w:tc>
        <w:tc>
          <w:tcPr>
            <w:tcW w:w="638" w:type="dxa"/>
            <w:shd w:val="clear" w:color="auto" w:fill="auto"/>
            <w:vAlign w:val="center"/>
          </w:tcPr>
          <w:p w14:paraId="6E14F2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护理费</w:t>
            </w:r>
          </w:p>
        </w:tc>
        <w:tc>
          <w:tcPr>
            <w:tcW w:w="1035" w:type="dxa"/>
            <w:shd w:val="clear" w:color="auto" w:fill="auto"/>
            <w:vAlign w:val="center"/>
          </w:tcPr>
          <w:p w14:paraId="3C7396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011301000040000</w:t>
            </w:r>
          </w:p>
        </w:tc>
        <w:tc>
          <w:tcPr>
            <w:tcW w:w="1050" w:type="dxa"/>
            <w:shd w:val="clear" w:color="auto" w:fill="auto"/>
            <w:vAlign w:val="center"/>
          </w:tcPr>
          <w:p w14:paraId="1EFCB5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Ⅲ级护理</w:t>
            </w:r>
          </w:p>
        </w:tc>
        <w:tc>
          <w:tcPr>
            <w:tcW w:w="2355" w:type="dxa"/>
            <w:shd w:val="clear" w:color="auto" w:fill="auto"/>
            <w:vAlign w:val="center"/>
          </w:tcPr>
          <w:p w14:paraId="76FAE687">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指病情稳定或处于康复期，且自理能力轻度依赖或无依赖的患者提供的相关护理。</w:t>
            </w:r>
          </w:p>
        </w:tc>
        <w:tc>
          <w:tcPr>
            <w:tcW w:w="3495" w:type="dxa"/>
            <w:shd w:val="clear" w:color="auto" w:fill="auto"/>
            <w:vAlign w:val="center"/>
          </w:tcPr>
          <w:p w14:paraId="1A80AE6C">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所定价格涵盖观察病情及生命体征、根据医嘱正确实施治疗用药、评估、评定、书写护理记录、心理护理、健康指导等所需的人力资源和基本物质资源消耗。不含专项护理。</w:t>
            </w:r>
          </w:p>
        </w:tc>
        <w:tc>
          <w:tcPr>
            <w:tcW w:w="675" w:type="dxa"/>
            <w:shd w:val="clear" w:color="auto" w:fill="auto"/>
            <w:vAlign w:val="center"/>
          </w:tcPr>
          <w:p w14:paraId="247A20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日</w:t>
            </w:r>
          </w:p>
        </w:tc>
        <w:tc>
          <w:tcPr>
            <w:tcW w:w="1890" w:type="dxa"/>
            <w:shd w:val="clear" w:color="auto" w:fill="auto"/>
            <w:vAlign w:val="center"/>
          </w:tcPr>
          <w:p w14:paraId="07E4E041">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iCs w:val="0"/>
                <w:color w:val="000000"/>
                <w:sz w:val="20"/>
                <w:szCs w:val="20"/>
                <w:u w:val="none"/>
              </w:rPr>
            </w:pPr>
          </w:p>
        </w:tc>
        <w:tc>
          <w:tcPr>
            <w:tcW w:w="750" w:type="dxa"/>
            <w:shd w:val="clear" w:color="auto" w:fill="auto"/>
            <w:vAlign w:val="center"/>
          </w:tcPr>
          <w:p w14:paraId="42BC53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18</w:t>
            </w:r>
          </w:p>
        </w:tc>
        <w:tc>
          <w:tcPr>
            <w:tcW w:w="780" w:type="dxa"/>
            <w:shd w:val="clear" w:color="auto" w:fill="auto"/>
            <w:vAlign w:val="center"/>
          </w:tcPr>
          <w:p w14:paraId="08EA28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16.2</w:t>
            </w:r>
          </w:p>
        </w:tc>
        <w:tc>
          <w:tcPr>
            <w:tcW w:w="795" w:type="dxa"/>
            <w:shd w:val="clear" w:color="auto" w:fill="auto"/>
            <w:vAlign w:val="center"/>
          </w:tcPr>
          <w:p w14:paraId="60044B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14.4</w:t>
            </w:r>
          </w:p>
        </w:tc>
        <w:tc>
          <w:tcPr>
            <w:tcW w:w="672" w:type="dxa"/>
            <w:shd w:val="clear" w:color="auto" w:fill="auto"/>
            <w:vAlign w:val="center"/>
          </w:tcPr>
          <w:p w14:paraId="5C1A67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甲类</w:t>
            </w:r>
          </w:p>
        </w:tc>
      </w:tr>
      <w:tr w14:paraId="66B7A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4565" w:type="dxa"/>
            <w:gridSpan w:val="12"/>
            <w:shd w:val="clear" w:color="auto" w:fill="auto"/>
            <w:vAlign w:val="center"/>
          </w:tcPr>
          <w:p w14:paraId="6AF49E05">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专科护理</w:t>
            </w:r>
          </w:p>
        </w:tc>
      </w:tr>
      <w:tr w14:paraId="03D1F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695" w:hRule="atLeast"/>
        </w:trPr>
        <w:tc>
          <w:tcPr>
            <w:tcW w:w="430" w:type="dxa"/>
            <w:shd w:val="clear" w:color="auto" w:fill="auto"/>
            <w:vAlign w:val="center"/>
          </w:tcPr>
          <w:p w14:paraId="5E1C51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7</w:t>
            </w:r>
          </w:p>
        </w:tc>
        <w:tc>
          <w:tcPr>
            <w:tcW w:w="638" w:type="dxa"/>
            <w:shd w:val="clear" w:color="auto" w:fill="auto"/>
            <w:vAlign w:val="center"/>
          </w:tcPr>
          <w:p w14:paraId="10FD5EB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护理费</w:t>
            </w:r>
          </w:p>
        </w:tc>
        <w:tc>
          <w:tcPr>
            <w:tcW w:w="1035" w:type="dxa"/>
            <w:shd w:val="clear" w:color="auto" w:fill="auto"/>
            <w:vAlign w:val="center"/>
          </w:tcPr>
          <w:p w14:paraId="5E8F95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011302000010000</w:t>
            </w:r>
          </w:p>
        </w:tc>
        <w:tc>
          <w:tcPr>
            <w:tcW w:w="1050" w:type="dxa"/>
            <w:shd w:val="clear" w:color="auto" w:fill="auto"/>
            <w:vAlign w:val="center"/>
          </w:tcPr>
          <w:p w14:paraId="6DF32F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急诊留观护理</w:t>
            </w:r>
          </w:p>
        </w:tc>
        <w:tc>
          <w:tcPr>
            <w:tcW w:w="2355" w:type="dxa"/>
            <w:shd w:val="clear" w:color="auto" w:fill="auto"/>
            <w:vAlign w:val="center"/>
          </w:tcPr>
          <w:p w14:paraId="2E3FF17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指为需留在急诊进行观察的患者提供的相关护理。</w:t>
            </w:r>
          </w:p>
        </w:tc>
        <w:tc>
          <w:tcPr>
            <w:tcW w:w="3495" w:type="dxa"/>
            <w:shd w:val="clear" w:color="auto" w:fill="auto"/>
            <w:vAlign w:val="center"/>
          </w:tcPr>
          <w:p w14:paraId="21189A21">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所定价格涵盖观察病情及生命体征、制定护理措施、根据医嘱正确实施治疗用药、评估、评定、书写护理记录、辅助实施生活护理、口腔护理、皮肤清洁、会阴护理、肛周护理、叩背护理、眼部护理、心理护理、预防并发症、实施床旁交接班、健康指导等所需的人力资源和基本物质资源消耗。不含其他专项护理。</w:t>
            </w:r>
          </w:p>
        </w:tc>
        <w:tc>
          <w:tcPr>
            <w:tcW w:w="675" w:type="dxa"/>
            <w:shd w:val="clear" w:color="auto" w:fill="auto"/>
            <w:vAlign w:val="center"/>
          </w:tcPr>
          <w:p w14:paraId="046B0A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日</w:t>
            </w:r>
          </w:p>
        </w:tc>
        <w:tc>
          <w:tcPr>
            <w:tcW w:w="1890" w:type="dxa"/>
            <w:shd w:val="clear" w:color="auto" w:fill="auto"/>
            <w:vAlign w:val="center"/>
          </w:tcPr>
          <w:p w14:paraId="1ADDE633">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当天转住院的，急诊留观与分级护理费用不得同时收取。</w:t>
            </w:r>
          </w:p>
        </w:tc>
        <w:tc>
          <w:tcPr>
            <w:tcW w:w="750" w:type="dxa"/>
            <w:shd w:val="clear" w:color="auto" w:fill="auto"/>
            <w:vAlign w:val="center"/>
          </w:tcPr>
          <w:p w14:paraId="64EAD7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25</w:t>
            </w:r>
          </w:p>
        </w:tc>
        <w:tc>
          <w:tcPr>
            <w:tcW w:w="780" w:type="dxa"/>
            <w:shd w:val="clear" w:color="auto" w:fill="auto"/>
            <w:vAlign w:val="center"/>
          </w:tcPr>
          <w:p w14:paraId="397DB6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22.5</w:t>
            </w:r>
          </w:p>
        </w:tc>
        <w:tc>
          <w:tcPr>
            <w:tcW w:w="795" w:type="dxa"/>
            <w:shd w:val="clear" w:color="auto" w:fill="auto"/>
            <w:vAlign w:val="center"/>
          </w:tcPr>
          <w:p w14:paraId="307E2E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20</w:t>
            </w:r>
          </w:p>
        </w:tc>
        <w:tc>
          <w:tcPr>
            <w:tcW w:w="672" w:type="dxa"/>
            <w:shd w:val="clear" w:color="auto" w:fill="auto"/>
            <w:vAlign w:val="center"/>
          </w:tcPr>
          <w:p w14:paraId="63842C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甲类</w:t>
            </w:r>
          </w:p>
        </w:tc>
      </w:tr>
      <w:tr w14:paraId="4B5E3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430" w:type="dxa"/>
            <w:shd w:val="clear" w:color="auto" w:fill="auto"/>
            <w:vAlign w:val="center"/>
          </w:tcPr>
          <w:p w14:paraId="010D98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8</w:t>
            </w:r>
          </w:p>
        </w:tc>
        <w:tc>
          <w:tcPr>
            <w:tcW w:w="638" w:type="dxa"/>
            <w:shd w:val="clear" w:color="auto" w:fill="auto"/>
            <w:vAlign w:val="center"/>
          </w:tcPr>
          <w:p w14:paraId="1A2CDD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护理费</w:t>
            </w:r>
          </w:p>
        </w:tc>
        <w:tc>
          <w:tcPr>
            <w:tcW w:w="1035" w:type="dxa"/>
            <w:shd w:val="clear" w:color="auto" w:fill="auto"/>
            <w:vAlign w:val="center"/>
          </w:tcPr>
          <w:p w14:paraId="6DF2D6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011302000020000</w:t>
            </w:r>
          </w:p>
        </w:tc>
        <w:tc>
          <w:tcPr>
            <w:tcW w:w="1050" w:type="dxa"/>
            <w:shd w:val="clear" w:color="auto" w:fill="auto"/>
            <w:vAlign w:val="center"/>
          </w:tcPr>
          <w:p w14:paraId="75FD4B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重症监护护理</w:t>
            </w:r>
          </w:p>
        </w:tc>
        <w:tc>
          <w:tcPr>
            <w:tcW w:w="2355" w:type="dxa"/>
            <w:shd w:val="clear" w:color="auto" w:fill="auto"/>
            <w:vAlign w:val="center"/>
          </w:tcPr>
          <w:p w14:paraId="656F699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指在重症监护病房内，护理人员为重症监护患者提供的相关护理。</w:t>
            </w:r>
          </w:p>
        </w:tc>
        <w:tc>
          <w:tcPr>
            <w:tcW w:w="3495" w:type="dxa"/>
            <w:shd w:val="clear" w:color="auto" w:fill="auto"/>
            <w:vAlign w:val="center"/>
          </w:tcPr>
          <w:p w14:paraId="6678E68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所定价格涵盖密切观察病情及生命体征、根据医嘱正确实施治疗用药、评估患者状态、评定相关指标、记出入量、随时配合抢救、及时书写护理记录、喂食、翻身、洗漱、并发症预防等全方位实施生活护理、口腔护理、皮肤护理、会阴护理、肛周护理、心理护理、健康指导等所需的人力资源和基本物质资源消耗。不含其他专项护理。</w:t>
            </w:r>
          </w:p>
        </w:tc>
        <w:tc>
          <w:tcPr>
            <w:tcW w:w="675" w:type="dxa"/>
            <w:shd w:val="clear" w:color="auto" w:fill="auto"/>
            <w:vAlign w:val="center"/>
          </w:tcPr>
          <w:p w14:paraId="267FAD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小时</w:t>
            </w:r>
          </w:p>
        </w:tc>
        <w:tc>
          <w:tcPr>
            <w:tcW w:w="1890" w:type="dxa"/>
            <w:shd w:val="clear" w:color="auto" w:fill="auto"/>
            <w:vAlign w:val="center"/>
          </w:tcPr>
          <w:p w14:paraId="7E39446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1.指在重症监护病房内实施的护理操作，不可与分级护理同时收费，可以与严密隔离护理/保护性隔离护理同时收费，不包含监测项目费用。</w:t>
            </w:r>
            <w:r>
              <w:rPr>
                <w:rFonts w:hint="eastAsia" w:ascii="仿宋_GB2312" w:hAnsi="仿宋_GB2312" w:eastAsia="仿宋_GB2312" w:cs="仿宋_GB2312"/>
                <w:i w:val="0"/>
                <w:iCs w:val="0"/>
                <w:color w:val="000000"/>
                <w:kern w:val="0"/>
                <w:sz w:val="20"/>
                <w:szCs w:val="20"/>
                <w:u w:val="none"/>
                <w:lang w:val="en-US" w:eastAsia="zh-CN" w:bidi="ar"/>
              </w:rPr>
              <w:br w:type="textWrapping"/>
            </w:r>
            <w:r>
              <w:rPr>
                <w:rFonts w:hint="eastAsia" w:ascii="仿宋_GB2312" w:hAnsi="仿宋_GB2312" w:eastAsia="仿宋_GB2312" w:cs="仿宋_GB2312"/>
                <w:i w:val="0"/>
                <w:iCs w:val="0"/>
                <w:color w:val="000000"/>
                <w:kern w:val="0"/>
                <w:sz w:val="20"/>
                <w:szCs w:val="20"/>
                <w:u w:val="none"/>
                <w:lang w:val="en-US" w:eastAsia="zh-CN" w:bidi="ar"/>
              </w:rPr>
              <w:t>2.转入重症监护病房后按“小时”收取重症监护护理费用，转入普通病房后，当日可按“日”收取分级护理费用。</w:t>
            </w:r>
            <w:r>
              <w:rPr>
                <w:rFonts w:hint="eastAsia" w:ascii="仿宋_GB2312" w:hAnsi="仿宋_GB2312" w:eastAsia="仿宋_GB2312" w:cs="仿宋_GB2312"/>
                <w:i w:val="0"/>
                <w:iCs w:val="0"/>
                <w:color w:val="000000"/>
                <w:kern w:val="0"/>
                <w:sz w:val="20"/>
                <w:szCs w:val="20"/>
                <w:u w:val="none"/>
                <w:lang w:val="en-US" w:eastAsia="zh-CN" w:bidi="ar"/>
              </w:rPr>
              <w:br w:type="textWrapping"/>
            </w:r>
            <w:r>
              <w:rPr>
                <w:rFonts w:hint="eastAsia" w:ascii="仿宋_GB2312" w:hAnsi="仿宋_GB2312" w:eastAsia="仿宋_GB2312" w:cs="仿宋_GB2312"/>
                <w:i w:val="0"/>
                <w:iCs w:val="0"/>
                <w:color w:val="000000"/>
                <w:kern w:val="0"/>
                <w:sz w:val="20"/>
                <w:szCs w:val="20"/>
                <w:u w:val="none"/>
                <w:lang w:val="en-US" w:eastAsia="zh-CN" w:bidi="ar"/>
              </w:rPr>
              <w:t>3.儿童加收30%。</w:t>
            </w:r>
          </w:p>
        </w:tc>
        <w:tc>
          <w:tcPr>
            <w:tcW w:w="750" w:type="dxa"/>
            <w:shd w:val="clear" w:color="auto" w:fill="auto"/>
            <w:vAlign w:val="center"/>
          </w:tcPr>
          <w:p w14:paraId="10272A8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12</w:t>
            </w:r>
          </w:p>
        </w:tc>
        <w:tc>
          <w:tcPr>
            <w:tcW w:w="780" w:type="dxa"/>
            <w:shd w:val="clear" w:color="auto" w:fill="auto"/>
            <w:vAlign w:val="center"/>
          </w:tcPr>
          <w:p w14:paraId="7C18B1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10.8</w:t>
            </w:r>
          </w:p>
        </w:tc>
        <w:tc>
          <w:tcPr>
            <w:tcW w:w="795" w:type="dxa"/>
            <w:shd w:val="clear" w:color="auto" w:fill="auto"/>
            <w:vAlign w:val="center"/>
          </w:tcPr>
          <w:p w14:paraId="3E47B1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9.6</w:t>
            </w:r>
          </w:p>
        </w:tc>
        <w:tc>
          <w:tcPr>
            <w:tcW w:w="672" w:type="dxa"/>
            <w:shd w:val="clear" w:color="auto" w:fill="auto"/>
            <w:vAlign w:val="center"/>
          </w:tcPr>
          <w:p w14:paraId="6B71AA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乙类</w:t>
            </w:r>
          </w:p>
        </w:tc>
      </w:tr>
      <w:tr w14:paraId="3F582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75" w:hRule="atLeast"/>
        </w:trPr>
        <w:tc>
          <w:tcPr>
            <w:tcW w:w="430" w:type="dxa"/>
            <w:shd w:val="clear" w:color="auto" w:fill="auto"/>
            <w:vAlign w:val="center"/>
          </w:tcPr>
          <w:p w14:paraId="24A960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9</w:t>
            </w:r>
          </w:p>
        </w:tc>
        <w:tc>
          <w:tcPr>
            <w:tcW w:w="638" w:type="dxa"/>
            <w:shd w:val="clear" w:color="auto" w:fill="auto"/>
            <w:vAlign w:val="center"/>
          </w:tcPr>
          <w:p w14:paraId="1DA24B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护理费</w:t>
            </w:r>
          </w:p>
        </w:tc>
        <w:tc>
          <w:tcPr>
            <w:tcW w:w="1035" w:type="dxa"/>
            <w:shd w:val="clear" w:color="auto" w:fill="auto"/>
            <w:vAlign w:val="center"/>
          </w:tcPr>
          <w:p w14:paraId="598C8F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011302000020001</w:t>
            </w:r>
          </w:p>
        </w:tc>
        <w:tc>
          <w:tcPr>
            <w:tcW w:w="1050" w:type="dxa"/>
            <w:shd w:val="clear" w:color="auto" w:fill="auto"/>
            <w:vAlign w:val="center"/>
          </w:tcPr>
          <w:p w14:paraId="3AB887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重症监护护理-儿童（加收）</w:t>
            </w:r>
          </w:p>
        </w:tc>
        <w:tc>
          <w:tcPr>
            <w:tcW w:w="2355" w:type="dxa"/>
            <w:shd w:val="clear" w:color="auto" w:fill="auto"/>
            <w:vAlign w:val="center"/>
          </w:tcPr>
          <w:p w14:paraId="15CFB32C">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指在重症监护病房内，护理人员为重症监护患者提供的相关护理。</w:t>
            </w:r>
          </w:p>
        </w:tc>
        <w:tc>
          <w:tcPr>
            <w:tcW w:w="3495" w:type="dxa"/>
            <w:shd w:val="clear" w:color="auto" w:fill="auto"/>
            <w:vAlign w:val="center"/>
          </w:tcPr>
          <w:p w14:paraId="3DF2EC8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指在重症监护病房内，护理人员为重症监护患者提供的相关护理。</w:t>
            </w:r>
          </w:p>
        </w:tc>
        <w:tc>
          <w:tcPr>
            <w:tcW w:w="675" w:type="dxa"/>
            <w:shd w:val="clear" w:color="auto" w:fill="auto"/>
            <w:vAlign w:val="center"/>
          </w:tcPr>
          <w:p w14:paraId="3D9312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小时</w:t>
            </w:r>
          </w:p>
        </w:tc>
        <w:tc>
          <w:tcPr>
            <w:tcW w:w="1890" w:type="dxa"/>
            <w:shd w:val="clear" w:color="auto" w:fill="auto"/>
            <w:vAlign w:val="center"/>
          </w:tcPr>
          <w:p w14:paraId="37D957BB">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iCs w:val="0"/>
                <w:color w:val="000000"/>
                <w:sz w:val="20"/>
                <w:szCs w:val="20"/>
                <w:u w:val="none"/>
              </w:rPr>
            </w:pPr>
          </w:p>
        </w:tc>
        <w:tc>
          <w:tcPr>
            <w:tcW w:w="750" w:type="dxa"/>
            <w:shd w:val="clear" w:color="auto" w:fill="auto"/>
            <w:vAlign w:val="center"/>
          </w:tcPr>
          <w:p w14:paraId="29EEF0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3.6</w:t>
            </w:r>
          </w:p>
        </w:tc>
        <w:tc>
          <w:tcPr>
            <w:tcW w:w="780" w:type="dxa"/>
            <w:shd w:val="clear" w:color="auto" w:fill="auto"/>
            <w:vAlign w:val="center"/>
          </w:tcPr>
          <w:p w14:paraId="404C89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3.2</w:t>
            </w:r>
          </w:p>
        </w:tc>
        <w:tc>
          <w:tcPr>
            <w:tcW w:w="795" w:type="dxa"/>
            <w:shd w:val="clear" w:color="auto" w:fill="auto"/>
            <w:vAlign w:val="center"/>
          </w:tcPr>
          <w:p w14:paraId="39D665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2.9</w:t>
            </w:r>
          </w:p>
        </w:tc>
        <w:tc>
          <w:tcPr>
            <w:tcW w:w="672" w:type="dxa"/>
            <w:shd w:val="clear" w:color="auto" w:fill="auto"/>
            <w:vAlign w:val="center"/>
          </w:tcPr>
          <w:p w14:paraId="726822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乙类</w:t>
            </w:r>
          </w:p>
        </w:tc>
      </w:tr>
      <w:tr w14:paraId="38341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3" w:hRule="atLeast"/>
        </w:trPr>
        <w:tc>
          <w:tcPr>
            <w:tcW w:w="430" w:type="dxa"/>
            <w:shd w:val="clear" w:color="auto" w:fill="auto"/>
            <w:vAlign w:val="center"/>
          </w:tcPr>
          <w:p w14:paraId="1BE8B8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10</w:t>
            </w:r>
          </w:p>
        </w:tc>
        <w:tc>
          <w:tcPr>
            <w:tcW w:w="638" w:type="dxa"/>
            <w:shd w:val="clear" w:color="auto" w:fill="auto"/>
            <w:vAlign w:val="center"/>
          </w:tcPr>
          <w:p w14:paraId="72104E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护理费</w:t>
            </w:r>
          </w:p>
        </w:tc>
        <w:tc>
          <w:tcPr>
            <w:tcW w:w="1035" w:type="dxa"/>
            <w:shd w:val="clear" w:color="auto" w:fill="auto"/>
            <w:vAlign w:val="center"/>
          </w:tcPr>
          <w:p w14:paraId="510954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011302000030000</w:t>
            </w:r>
          </w:p>
        </w:tc>
        <w:tc>
          <w:tcPr>
            <w:tcW w:w="1050" w:type="dxa"/>
            <w:shd w:val="clear" w:color="auto" w:fill="auto"/>
            <w:vAlign w:val="center"/>
          </w:tcPr>
          <w:p w14:paraId="5B7FAD2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精神病人护理</w:t>
            </w:r>
          </w:p>
        </w:tc>
        <w:tc>
          <w:tcPr>
            <w:tcW w:w="2355" w:type="dxa"/>
            <w:shd w:val="clear" w:color="auto" w:fill="auto"/>
            <w:vAlign w:val="center"/>
          </w:tcPr>
          <w:p w14:paraId="0F53B74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指对精神病患者提供的护理。</w:t>
            </w:r>
          </w:p>
        </w:tc>
        <w:tc>
          <w:tcPr>
            <w:tcW w:w="3495" w:type="dxa"/>
            <w:shd w:val="clear" w:color="auto" w:fill="auto"/>
            <w:vAlign w:val="center"/>
          </w:tcPr>
          <w:p w14:paraId="77076E1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所定价格涵盖密切巡视患者、观察患者情绪变化、并对患者提供适宜的照顾、采取预防意外事件发生的措施、做好健康教育指导等所需的人力资源和基本物质资源消耗。</w:t>
            </w:r>
          </w:p>
        </w:tc>
        <w:tc>
          <w:tcPr>
            <w:tcW w:w="675" w:type="dxa"/>
            <w:shd w:val="clear" w:color="auto" w:fill="auto"/>
            <w:vAlign w:val="center"/>
          </w:tcPr>
          <w:p w14:paraId="650822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日</w:t>
            </w:r>
          </w:p>
        </w:tc>
        <w:tc>
          <w:tcPr>
            <w:tcW w:w="1890" w:type="dxa"/>
            <w:shd w:val="clear" w:color="auto" w:fill="auto"/>
            <w:vAlign w:val="center"/>
          </w:tcPr>
          <w:p w14:paraId="6D48DE76">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iCs w:val="0"/>
                <w:color w:val="000000"/>
                <w:sz w:val="20"/>
                <w:szCs w:val="20"/>
                <w:u w:val="none"/>
              </w:rPr>
            </w:pPr>
          </w:p>
        </w:tc>
        <w:tc>
          <w:tcPr>
            <w:tcW w:w="750" w:type="dxa"/>
            <w:shd w:val="clear" w:color="auto" w:fill="auto"/>
            <w:vAlign w:val="center"/>
          </w:tcPr>
          <w:p w14:paraId="3BF7F9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25</w:t>
            </w:r>
          </w:p>
        </w:tc>
        <w:tc>
          <w:tcPr>
            <w:tcW w:w="780" w:type="dxa"/>
            <w:shd w:val="clear" w:color="auto" w:fill="auto"/>
            <w:vAlign w:val="center"/>
          </w:tcPr>
          <w:p w14:paraId="4D953F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22.5</w:t>
            </w:r>
          </w:p>
        </w:tc>
        <w:tc>
          <w:tcPr>
            <w:tcW w:w="795" w:type="dxa"/>
            <w:shd w:val="clear" w:color="auto" w:fill="auto"/>
            <w:vAlign w:val="center"/>
          </w:tcPr>
          <w:p w14:paraId="664912A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20</w:t>
            </w:r>
          </w:p>
        </w:tc>
        <w:tc>
          <w:tcPr>
            <w:tcW w:w="672" w:type="dxa"/>
            <w:shd w:val="clear" w:color="auto" w:fill="auto"/>
            <w:vAlign w:val="center"/>
          </w:tcPr>
          <w:p w14:paraId="0CC3F16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甲类</w:t>
            </w:r>
          </w:p>
        </w:tc>
      </w:tr>
      <w:tr w14:paraId="6F0D5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8" w:hRule="atLeast"/>
        </w:trPr>
        <w:tc>
          <w:tcPr>
            <w:tcW w:w="430" w:type="dxa"/>
            <w:shd w:val="clear" w:color="auto" w:fill="auto"/>
            <w:vAlign w:val="center"/>
          </w:tcPr>
          <w:p w14:paraId="7926CA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11</w:t>
            </w:r>
          </w:p>
        </w:tc>
        <w:tc>
          <w:tcPr>
            <w:tcW w:w="638" w:type="dxa"/>
            <w:shd w:val="clear" w:color="auto" w:fill="auto"/>
            <w:vAlign w:val="center"/>
          </w:tcPr>
          <w:p w14:paraId="66CA6DF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护理费</w:t>
            </w:r>
          </w:p>
        </w:tc>
        <w:tc>
          <w:tcPr>
            <w:tcW w:w="1035" w:type="dxa"/>
            <w:shd w:val="clear" w:color="auto" w:fill="auto"/>
            <w:vAlign w:val="center"/>
          </w:tcPr>
          <w:p w14:paraId="6F4500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011302000040000</w:t>
            </w:r>
          </w:p>
        </w:tc>
        <w:tc>
          <w:tcPr>
            <w:tcW w:w="1050" w:type="dxa"/>
            <w:shd w:val="clear" w:color="auto" w:fill="auto"/>
            <w:vAlign w:val="center"/>
          </w:tcPr>
          <w:p w14:paraId="23767A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严密隔离护理</w:t>
            </w:r>
          </w:p>
        </w:tc>
        <w:tc>
          <w:tcPr>
            <w:tcW w:w="2355" w:type="dxa"/>
            <w:shd w:val="clear" w:color="auto" w:fill="auto"/>
            <w:vAlign w:val="center"/>
          </w:tcPr>
          <w:p w14:paraId="5939266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指对甲类、乙类传染病患者在严密隔离条件下提供的护理。</w:t>
            </w:r>
          </w:p>
        </w:tc>
        <w:tc>
          <w:tcPr>
            <w:tcW w:w="3495" w:type="dxa"/>
            <w:shd w:val="clear" w:color="auto" w:fill="auto"/>
            <w:vAlign w:val="center"/>
          </w:tcPr>
          <w:p w14:paraId="1C77BAF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所定价格涵盖穿戴个人防护用品、标识、患者排出物消毒处理、生活垃圾及医疗垃圾处理、消毒及细菌采样等所需的人力资源和基本物质资源消耗。</w:t>
            </w:r>
          </w:p>
        </w:tc>
        <w:tc>
          <w:tcPr>
            <w:tcW w:w="675" w:type="dxa"/>
            <w:shd w:val="clear" w:color="auto" w:fill="auto"/>
            <w:vAlign w:val="center"/>
          </w:tcPr>
          <w:p w14:paraId="0ADF43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日</w:t>
            </w:r>
          </w:p>
        </w:tc>
        <w:tc>
          <w:tcPr>
            <w:tcW w:w="1890" w:type="dxa"/>
            <w:shd w:val="clear" w:color="auto" w:fill="auto"/>
            <w:vAlign w:val="center"/>
          </w:tcPr>
          <w:p w14:paraId="1A20B63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1.严密隔离护理条件参照《全国医疗服务项目技术规范(2023年版)》。</w:t>
            </w:r>
            <w:r>
              <w:rPr>
                <w:rFonts w:hint="eastAsia" w:ascii="仿宋_GB2312" w:hAnsi="仿宋_GB2312" w:eastAsia="仿宋_GB2312" w:cs="仿宋_GB2312"/>
                <w:i w:val="0"/>
                <w:iCs w:val="0"/>
                <w:color w:val="000000"/>
                <w:kern w:val="0"/>
                <w:sz w:val="20"/>
                <w:szCs w:val="20"/>
                <w:u w:val="none"/>
                <w:lang w:val="en-US" w:eastAsia="zh-CN" w:bidi="ar"/>
              </w:rPr>
              <w:br w:type="textWrapping"/>
            </w:r>
            <w:r>
              <w:rPr>
                <w:rFonts w:hint="eastAsia" w:ascii="仿宋_GB2312" w:hAnsi="仿宋_GB2312" w:eastAsia="仿宋_GB2312" w:cs="仿宋_GB2312"/>
                <w:i w:val="0"/>
                <w:iCs w:val="0"/>
                <w:color w:val="000000"/>
                <w:kern w:val="0"/>
                <w:sz w:val="20"/>
                <w:szCs w:val="20"/>
                <w:u w:val="none"/>
                <w:lang w:val="en-US" w:eastAsia="zh-CN" w:bidi="ar"/>
              </w:rPr>
              <w:t>2.儿童加收30%。</w:t>
            </w:r>
          </w:p>
        </w:tc>
        <w:tc>
          <w:tcPr>
            <w:tcW w:w="750" w:type="dxa"/>
            <w:shd w:val="clear" w:color="auto" w:fill="auto"/>
            <w:vAlign w:val="center"/>
          </w:tcPr>
          <w:p w14:paraId="5DCF9F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70</w:t>
            </w:r>
          </w:p>
        </w:tc>
        <w:tc>
          <w:tcPr>
            <w:tcW w:w="780" w:type="dxa"/>
            <w:shd w:val="clear" w:color="auto" w:fill="auto"/>
            <w:vAlign w:val="center"/>
          </w:tcPr>
          <w:p w14:paraId="538B77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63</w:t>
            </w:r>
          </w:p>
        </w:tc>
        <w:tc>
          <w:tcPr>
            <w:tcW w:w="795" w:type="dxa"/>
            <w:shd w:val="clear" w:color="auto" w:fill="auto"/>
            <w:vAlign w:val="center"/>
          </w:tcPr>
          <w:p w14:paraId="2C7C32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56</w:t>
            </w:r>
          </w:p>
        </w:tc>
        <w:tc>
          <w:tcPr>
            <w:tcW w:w="672" w:type="dxa"/>
            <w:shd w:val="clear" w:color="auto" w:fill="auto"/>
            <w:vAlign w:val="center"/>
          </w:tcPr>
          <w:p w14:paraId="6F0BCF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乙类</w:t>
            </w:r>
          </w:p>
        </w:tc>
      </w:tr>
      <w:tr w14:paraId="6B85D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65" w:hRule="atLeast"/>
        </w:trPr>
        <w:tc>
          <w:tcPr>
            <w:tcW w:w="430" w:type="dxa"/>
            <w:shd w:val="clear" w:color="auto" w:fill="auto"/>
            <w:vAlign w:val="center"/>
          </w:tcPr>
          <w:p w14:paraId="377C1C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12</w:t>
            </w:r>
          </w:p>
        </w:tc>
        <w:tc>
          <w:tcPr>
            <w:tcW w:w="638" w:type="dxa"/>
            <w:shd w:val="clear" w:color="auto" w:fill="auto"/>
            <w:vAlign w:val="center"/>
          </w:tcPr>
          <w:p w14:paraId="38ED8F6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护理费</w:t>
            </w:r>
          </w:p>
        </w:tc>
        <w:tc>
          <w:tcPr>
            <w:tcW w:w="1035" w:type="dxa"/>
            <w:shd w:val="clear" w:color="auto" w:fill="auto"/>
            <w:vAlign w:val="center"/>
          </w:tcPr>
          <w:p w14:paraId="06BD88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011302000040001</w:t>
            </w:r>
          </w:p>
        </w:tc>
        <w:tc>
          <w:tcPr>
            <w:tcW w:w="1050" w:type="dxa"/>
            <w:shd w:val="clear" w:color="auto" w:fill="auto"/>
            <w:vAlign w:val="center"/>
          </w:tcPr>
          <w:p w14:paraId="75A6D1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严密隔离护理-儿童（加收）</w:t>
            </w:r>
          </w:p>
        </w:tc>
        <w:tc>
          <w:tcPr>
            <w:tcW w:w="2355" w:type="dxa"/>
            <w:shd w:val="clear" w:color="auto" w:fill="auto"/>
            <w:vAlign w:val="center"/>
          </w:tcPr>
          <w:p w14:paraId="1A8CEDA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指对甲类、乙类传染病患者在严密隔离条件下提供的护理。</w:t>
            </w:r>
          </w:p>
        </w:tc>
        <w:tc>
          <w:tcPr>
            <w:tcW w:w="3495" w:type="dxa"/>
            <w:shd w:val="clear" w:color="auto" w:fill="auto"/>
            <w:vAlign w:val="center"/>
          </w:tcPr>
          <w:p w14:paraId="3B4D1CD5">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iCs w:val="0"/>
                <w:color w:val="000000"/>
                <w:sz w:val="20"/>
                <w:szCs w:val="20"/>
                <w:u w:val="none"/>
              </w:rPr>
            </w:pPr>
          </w:p>
        </w:tc>
        <w:tc>
          <w:tcPr>
            <w:tcW w:w="675" w:type="dxa"/>
            <w:shd w:val="clear" w:color="auto" w:fill="auto"/>
            <w:vAlign w:val="center"/>
          </w:tcPr>
          <w:p w14:paraId="3EF5EB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日</w:t>
            </w:r>
          </w:p>
        </w:tc>
        <w:tc>
          <w:tcPr>
            <w:tcW w:w="1890" w:type="dxa"/>
            <w:shd w:val="clear" w:color="auto" w:fill="auto"/>
            <w:vAlign w:val="center"/>
          </w:tcPr>
          <w:p w14:paraId="25E4702B">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iCs w:val="0"/>
                <w:color w:val="000000"/>
                <w:sz w:val="20"/>
                <w:szCs w:val="20"/>
                <w:u w:val="none"/>
              </w:rPr>
            </w:pPr>
          </w:p>
        </w:tc>
        <w:tc>
          <w:tcPr>
            <w:tcW w:w="750" w:type="dxa"/>
            <w:shd w:val="clear" w:color="auto" w:fill="auto"/>
            <w:vAlign w:val="center"/>
          </w:tcPr>
          <w:p w14:paraId="231113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21</w:t>
            </w:r>
          </w:p>
        </w:tc>
        <w:tc>
          <w:tcPr>
            <w:tcW w:w="780" w:type="dxa"/>
            <w:shd w:val="clear" w:color="auto" w:fill="auto"/>
            <w:vAlign w:val="center"/>
          </w:tcPr>
          <w:p w14:paraId="3AAD7F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18.9</w:t>
            </w:r>
          </w:p>
        </w:tc>
        <w:tc>
          <w:tcPr>
            <w:tcW w:w="795" w:type="dxa"/>
            <w:shd w:val="clear" w:color="auto" w:fill="auto"/>
            <w:vAlign w:val="center"/>
          </w:tcPr>
          <w:p w14:paraId="51D9CE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16.8</w:t>
            </w:r>
          </w:p>
        </w:tc>
        <w:tc>
          <w:tcPr>
            <w:tcW w:w="672" w:type="dxa"/>
            <w:shd w:val="clear" w:color="auto" w:fill="auto"/>
            <w:vAlign w:val="center"/>
          </w:tcPr>
          <w:p w14:paraId="77A7CD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乙类</w:t>
            </w:r>
          </w:p>
        </w:tc>
      </w:tr>
      <w:tr w14:paraId="451BA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11" w:hRule="atLeast"/>
        </w:trPr>
        <w:tc>
          <w:tcPr>
            <w:tcW w:w="430" w:type="dxa"/>
            <w:shd w:val="clear" w:color="auto" w:fill="auto"/>
            <w:vAlign w:val="center"/>
          </w:tcPr>
          <w:p w14:paraId="247E53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13</w:t>
            </w:r>
          </w:p>
        </w:tc>
        <w:tc>
          <w:tcPr>
            <w:tcW w:w="638" w:type="dxa"/>
            <w:shd w:val="clear" w:color="auto" w:fill="auto"/>
            <w:vAlign w:val="center"/>
          </w:tcPr>
          <w:p w14:paraId="018B60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护理费</w:t>
            </w:r>
          </w:p>
        </w:tc>
        <w:tc>
          <w:tcPr>
            <w:tcW w:w="1035" w:type="dxa"/>
            <w:shd w:val="clear" w:color="auto" w:fill="auto"/>
            <w:vAlign w:val="center"/>
          </w:tcPr>
          <w:p w14:paraId="45E412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011302000050000</w:t>
            </w:r>
          </w:p>
        </w:tc>
        <w:tc>
          <w:tcPr>
            <w:tcW w:w="1050" w:type="dxa"/>
            <w:shd w:val="clear" w:color="auto" w:fill="auto"/>
            <w:vAlign w:val="center"/>
          </w:tcPr>
          <w:p w14:paraId="402904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保护性隔离护理</w:t>
            </w:r>
          </w:p>
        </w:tc>
        <w:tc>
          <w:tcPr>
            <w:tcW w:w="2355" w:type="dxa"/>
            <w:shd w:val="clear" w:color="auto" w:fill="auto"/>
            <w:vAlign w:val="center"/>
          </w:tcPr>
          <w:p w14:paraId="243C0C4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指对抵抗力低、极易感染患者在保护性隔离条件下的护理。</w:t>
            </w:r>
          </w:p>
        </w:tc>
        <w:tc>
          <w:tcPr>
            <w:tcW w:w="3495" w:type="dxa"/>
            <w:shd w:val="clear" w:color="auto" w:fill="auto"/>
            <w:vAlign w:val="center"/>
          </w:tcPr>
          <w:p w14:paraId="6FAC7F33">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所定价格涵盖观察病情及生命体征、评估、评定、防护用品、消毒清洁及细菌采样等所需的人力资源和基本物质资源消耗。</w:t>
            </w:r>
          </w:p>
        </w:tc>
        <w:tc>
          <w:tcPr>
            <w:tcW w:w="675" w:type="dxa"/>
            <w:shd w:val="clear" w:color="auto" w:fill="auto"/>
            <w:vAlign w:val="center"/>
          </w:tcPr>
          <w:p w14:paraId="303A982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日</w:t>
            </w:r>
          </w:p>
        </w:tc>
        <w:tc>
          <w:tcPr>
            <w:tcW w:w="1890" w:type="dxa"/>
            <w:shd w:val="clear" w:color="auto" w:fill="auto"/>
            <w:vAlign w:val="center"/>
          </w:tcPr>
          <w:p w14:paraId="1C9ED647">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1.保护性隔离条件参照《全国医疗服务项目技术规范(2023年版)》。</w:t>
            </w:r>
            <w:r>
              <w:rPr>
                <w:rFonts w:hint="eastAsia" w:ascii="仿宋_GB2312" w:hAnsi="仿宋_GB2312" w:eastAsia="仿宋_GB2312" w:cs="仿宋_GB2312"/>
                <w:i w:val="0"/>
                <w:iCs w:val="0"/>
                <w:color w:val="000000"/>
                <w:kern w:val="0"/>
                <w:sz w:val="20"/>
                <w:szCs w:val="20"/>
                <w:u w:val="none"/>
                <w:lang w:val="en-US" w:eastAsia="zh-CN" w:bidi="ar"/>
              </w:rPr>
              <w:br w:type="textWrapping"/>
            </w:r>
            <w:r>
              <w:rPr>
                <w:rFonts w:hint="eastAsia" w:ascii="仿宋_GB2312" w:hAnsi="仿宋_GB2312" w:eastAsia="仿宋_GB2312" w:cs="仿宋_GB2312"/>
                <w:i w:val="0"/>
                <w:iCs w:val="0"/>
                <w:color w:val="000000"/>
                <w:kern w:val="0"/>
                <w:sz w:val="20"/>
                <w:szCs w:val="20"/>
                <w:u w:val="none"/>
                <w:lang w:val="en-US" w:eastAsia="zh-CN" w:bidi="ar"/>
              </w:rPr>
              <w:t>2.儿童加收30%。</w:t>
            </w:r>
          </w:p>
        </w:tc>
        <w:tc>
          <w:tcPr>
            <w:tcW w:w="750" w:type="dxa"/>
            <w:shd w:val="clear" w:color="auto" w:fill="auto"/>
            <w:vAlign w:val="center"/>
          </w:tcPr>
          <w:p w14:paraId="722850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38</w:t>
            </w:r>
          </w:p>
        </w:tc>
        <w:tc>
          <w:tcPr>
            <w:tcW w:w="780" w:type="dxa"/>
            <w:shd w:val="clear" w:color="auto" w:fill="auto"/>
            <w:vAlign w:val="center"/>
          </w:tcPr>
          <w:p w14:paraId="3BBFC8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34.2</w:t>
            </w:r>
          </w:p>
        </w:tc>
        <w:tc>
          <w:tcPr>
            <w:tcW w:w="795" w:type="dxa"/>
            <w:shd w:val="clear" w:color="auto" w:fill="auto"/>
            <w:vAlign w:val="center"/>
          </w:tcPr>
          <w:p w14:paraId="4474C0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30.4</w:t>
            </w:r>
          </w:p>
        </w:tc>
        <w:tc>
          <w:tcPr>
            <w:tcW w:w="672" w:type="dxa"/>
            <w:shd w:val="clear" w:color="auto" w:fill="auto"/>
            <w:vAlign w:val="center"/>
          </w:tcPr>
          <w:p w14:paraId="537BCB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乙类</w:t>
            </w:r>
          </w:p>
        </w:tc>
      </w:tr>
      <w:tr w14:paraId="4D07D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1" w:hRule="atLeast"/>
        </w:trPr>
        <w:tc>
          <w:tcPr>
            <w:tcW w:w="430" w:type="dxa"/>
            <w:shd w:val="clear" w:color="auto" w:fill="auto"/>
            <w:vAlign w:val="center"/>
          </w:tcPr>
          <w:p w14:paraId="3FC2F6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14</w:t>
            </w:r>
          </w:p>
        </w:tc>
        <w:tc>
          <w:tcPr>
            <w:tcW w:w="638" w:type="dxa"/>
            <w:shd w:val="clear" w:color="auto" w:fill="auto"/>
            <w:vAlign w:val="center"/>
          </w:tcPr>
          <w:p w14:paraId="231DD3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护理费</w:t>
            </w:r>
          </w:p>
        </w:tc>
        <w:tc>
          <w:tcPr>
            <w:tcW w:w="1035" w:type="dxa"/>
            <w:shd w:val="clear" w:color="auto" w:fill="auto"/>
            <w:vAlign w:val="center"/>
          </w:tcPr>
          <w:p w14:paraId="323076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011302000050001</w:t>
            </w:r>
          </w:p>
        </w:tc>
        <w:tc>
          <w:tcPr>
            <w:tcW w:w="1050" w:type="dxa"/>
            <w:shd w:val="clear" w:color="auto" w:fill="auto"/>
            <w:vAlign w:val="center"/>
          </w:tcPr>
          <w:p w14:paraId="412552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保护性隔离护理-儿童（加收）</w:t>
            </w:r>
          </w:p>
        </w:tc>
        <w:tc>
          <w:tcPr>
            <w:tcW w:w="2355" w:type="dxa"/>
            <w:shd w:val="clear" w:color="auto" w:fill="auto"/>
            <w:vAlign w:val="center"/>
          </w:tcPr>
          <w:p w14:paraId="5DBDB0E2">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指对抵抗力低、极易感染患者在保护性隔离条件下的护理。</w:t>
            </w:r>
          </w:p>
        </w:tc>
        <w:tc>
          <w:tcPr>
            <w:tcW w:w="3495" w:type="dxa"/>
            <w:shd w:val="clear" w:color="auto" w:fill="auto"/>
            <w:vAlign w:val="center"/>
          </w:tcPr>
          <w:p w14:paraId="03051FD3">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iCs w:val="0"/>
                <w:color w:val="000000"/>
                <w:sz w:val="20"/>
                <w:szCs w:val="20"/>
                <w:u w:val="none"/>
              </w:rPr>
            </w:pPr>
          </w:p>
        </w:tc>
        <w:tc>
          <w:tcPr>
            <w:tcW w:w="675" w:type="dxa"/>
            <w:shd w:val="clear" w:color="auto" w:fill="auto"/>
            <w:vAlign w:val="center"/>
          </w:tcPr>
          <w:p w14:paraId="3F540D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日</w:t>
            </w:r>
          </w:p>
        </w:tc>
        <w:tc>
          <w:tcPr>
            <w:tcW w:w="1890" w:type="dxa"/>
            <w:shd w:val="clear" w:color="auto" w:fill="auto"/>
            <w:vAlign w:val="center"/>
          </w:tcPr>
          <w:p w14:paraId="2E6CBE50">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iCs w:val="0"/>
                <w:color w:val="000000"/>
                <w:sz w:val="20"/>
                <w:szCs w:val="20"/>
                <w:u w:val="none"/>
              </w:rPr>
            </w:pPr>
          </w:p>
        </w:tc>
        <w:tc>
          <w:tcPr>
            <w:tcW w:w="750" w:type="dxa"/>
            <w:shd w:val="clear" w:color="auto" w:fill="auto"/>
            <w:vAlign w:val="center"/>
          </w:tcPr>
          <w:p w14:paraId="66B4CF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11.4</w:t>
            </w:r>
          </w:p>
        </w:tc>
        <w:tc>
          <w:tcPr>
            <w:tcW w:w="780" w:type="dxa"/>
            <w:shd w:val="clear" w:color="auto" w:fill="auto"/>
            <w:vAlign w:val="center"/>
          </w:tcPr>
          <w:p w14:paraId="0FB6B2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10.3</w:t>
            </w:r>
          </w:p>
        </w:tc>
        <w:tc>
          <w:tcPr>
            <w:tcW w:w="795" w:type="dxa"/>
            <w:shd w:val="clear" w:color="auto" w:fill="auto"/>
            <w:vAlign w:val="center"/>
          </w:tcPr>
          <w:p w14:paraId="3B24558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9.1</w:t>
            </w:r>
          </w:p>
        </w:tc>
        <w:tc>
          <w:tcPr>
            <w:tcW w:w="672" w:type="dxa"/>
            <w:shd w:val="clear" w:color="auto" w:fill="auto"/>
            <w:vAlign w:val="center"/>
          </w:tcPr>
          <w:p w14:paraId="3AB2C5F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乙类</w:t>
            </w:r>
          </w:p>
        </w:tc>
      </w:tr>
      <w:tr w14:paraId="23784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30" w:hRule="atLeast"/>
        </w:trPr>
        <w:tc>
          <w:tcPr>
            <w:tcW w:w="430" w:type="dxa"/>
            <w:shd w:val="clear" w:color="auto" w:fill="auto"/>
            <w:vAlign w:val="center"/>
          </w:tcPr>
          <w:p w14:paraId="5D442C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15</w:t>
            </w:r>
          </w:p>
        </w:tc>
        <w:tc>
          <w:tcPr>
            <w:tcW w:w="638" w:type="dxa"/>
            <w:shd w:val="clear" w:color="auto" w:fill="auto"/>
            <w:vAlign w:val="center"/>
          </w:tcPr>
          <w:p w14:paraId="415140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护理费</w:t>
            </w:r>
          </w:p>
        </w:tc>
        <w:tc>
          <w:tcPr>
            <w:tcW w:w="1035" w:type="dxa"/>
            <w:shd w:val="clear" w:color="auto" w:fill="auto"/>
            <w:vAlign w:val="center"/>
          </w:tcPr>
          <w:p w14:paraId="58F57D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011302000060000</w:t>
            </w:r>
          </w:p>
        </w:tc>
        <w:tc>
          <w:tcPr>
            <w:tcW w:w="1050" w:type="dxa"/>
            <w:shd w:val="clear" w:color="auto" w:fill="auto"/>
            <w:vAlign w:val="center"/>
          </w:tcPr>
          <w:p w14:paraId="21F3D8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新生儿护理</w:t>
            </w:r>
          </w:p>
        </w:tc>
        <w:tc>
          <w:tcPr>
            <w:tcW w:w="2355" w:type="dxa"/>
            <w:shd w:val="clear" w:color="auto" w:fill="auto"/>
            <w:vAlign w:val="center"/>
          </w:tcPr>
          <w:p w14:paraId="7451B04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指对从胎儿娩出、脐带结扎后至28天的婴儿进行的相关护理。</w:t>
            </w:r>
          </w:p>
        </w:tc>
        <w:tc>
          <w:tcPr>
            <w:tcW w:w="3495" w:type="dxa"/>
            <w:shd w:val="clear" w:color="auto" w:fill="auto"/>
            <w:vAlign w:val="center"/>
          </w:tcPr>
          <w:p w14:paraId="1E702361">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所定价格涵盖喂养、更换尿布、臀部护理、脐部残端护理、称体重、观察皮肤、洗浴、抚触、更换衣物被服、肛管排气、口腔护理、皮肤护理、会阴护理、肛周护理等所需的人力资源和基本物质资源消耗。不含其他专项护理。</w:t>
            </w:r>
          </w:p>
        </w:tc>
        <w:tc>
          <w:tcPr>
            <w:tcW w:w="675" w:type="dxa"/>
            <w:shd w:val="clear" w:color="auto" w:fill="auto"/>
            <w:vAlign w:val="center"/>
          </w:tcPr>
          <w:p w14:paraId="6E993E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日</w:t>
            </w:r>
          </w:p>
        </w:tc>
        <w:tc>
          <w:tcPr>
            <w:tcW w:w="1890" w:type="dxa"/>
            <w:shd w:val="clear" w:color="auto" w:fill="auto"/>
            <w:vAlign w:val="center"/>
          </w:tcPr>
          <w:p w14:paraId="2812B822">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不与分级护理同时收取。</w:t>
            </w:r>
          </w:p>
        </w:tc>
        <w:tc>
          <w:tcPr>
            <w:tcW w:w="750" w:type="dxa"/>
            <w:shd w:val="clear" w:color="auto" w:fill="auto"/>
            <w:vAlign w:val="center"/>
          </w:tcPr>
          <w:p w14:paraId="62866E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46</w:t>
            </w:r>
          </w:p>
        </w:tc>
        <w:tc>
          <w:tcPr>
            <w:tcW w:w="780" w:type="dxa"/>
            <w:shd w:val="clear" w:color="auto" w:fill="auto"/>
            <w:vAlign w:val="center"/>
          </w:tcPr>
          <w:p w14:paraId="0F3444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41.4</w:t>
            </w:r>
          </w:p>
        </w:tc>
        <w:tc>
          <w:tcPr>
            <w:tcW w:w="795" w:type="dxa"/>
            <w:shd w:val="clear" w:color="auto" w:fill="auto"/>
            <w:vAlign w:val="center"/>
          </w:tcPr>
          <w:p w14:paraId="30CBCE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36.8</w:t>
            </w:r>
          </w:p>
        </w:tc>
        <w:tc>
          <w:tcPr>
            <w:tcW w:w="672" w:type="dxa"/>
            <w:shd w:val="clear" w:color="auto" w:fill="auto"/>
            <w:vAlign w:val="center"/>
          </w:tcPr>
          <w:p w14:paraId="246CF5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甲类</w:t>
            </w:r>
          </w:p>
        </w:tc>
      </w:tr>
      <w:tr w14:paraId="42290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5" w:hRule="atLeast"/>
        </w:trPr>
        <w:tc>
          <w:tcPr>
            <w:tcW w:w="430" w:type="dxa"/>
            <w:shd w:val="clear" w:color="auto" w:fill="auto"/>
            <w:vAlign w:val="center"/>
          </w:tcPr>
          <w:p w14:paraId="4B312DC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16</w:t>
            </w:r>
          </w:p>
        </w:tc>
        <w:tc>
          <w:tcPr>
            <w:tcW w:w="638" w:type="dxa"/>
            <w:shd w:val="clear" w:color="auto" w:fill="auto"/>
            <w:vAlign w:val="center"/>
          </w:tcPr>
          <w:p w14:paraId="381521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护理费</w:t>
            </w:r>
          </w:p>
        </w:tc>
        <w:tc>
          <w:tcPr>
            <w:tcW w:w="1035" w:type="dxa"/>
            <w:shd w:val="clear" w:color="auto" w:fill="auto"/>
            <w:vAlign w:val="center"/>
          </w:tcPr>
          <w:p w14:paraId="6811E3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011302000070000</w:t>
            </w:r>
          </w:p>
        </w:tc>
        <w:tc>
          <w:tcPr>
            <w:tcW w:w="1050" w:type="dxa"/>
            <w:shd w:val="clear" w:color="auto" w:fill="auto"/>
            <w:vAlign w:val="center"/>
          </w:tcPr>
          <w:p w14:paraId="7D8547C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早产儿护理</w:t>
            </w:r>
          </w:p>
        </w:tc>
        <w:tc>
          <w:tcPr>
            <w:tcW w:w="2355" w:type="dxa"/>
            <w:shd w:val="clear" w:color="auto" w:fill="auto"/>
            <w:vAlign w:val="center"/>
          </w:tcPr>
          <w:p w14:paraId="5027990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指对出生时胎龄小于37周，纠正胎龄至44周的早产儿进行的相关护理。</w:t>
            </w:r>
          </w:p>
        </w:tc>
        <w:tc>
          <w:tcPr>
            <w:tcW w:w="3495" w:type="dxa"/>
            <w:shd w:val="clear" w:color="auto" w:fill="auto"/>
            <w:vAlign w:val="center"/>
          </w:tcPr>
          <w:p w14:paraId="62667A07">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所定价格涵盖评估病情、核对医嘱、胎龄，监护呼吸、体温、心率变化及各器官功能的成熟情况、体位管理、喂养、更换尿布、臀部护理、脐部残端护理、肛管排气、口腔护理、皮肤护理、会阴护理、肛周护理等所需的人力资源和基本物质资源消耗。不含其他专项护理。</w:t>
            </w:r>
          </w:p>
        </w:tc>
        <w:tc>
          <w:tcPr>
            <w:tcW w:w="675" w:type="dxa"/>
            <w:shd w:val="clear" w:color="auto" w:fill="auto"/>
            <w:vAlign w:val="center"/>
          </w:tcPr>
          <w:p w14:paraId="615D19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日</w:t>
            </w:r>
          </w:p>
        </w:tc>
        <w:tc>
          <w:tcPr>
            <w:tcW w:w="1890" w:type="dxa"/>
            <w:shd w:val="clear" w:color="auto" w:fill="auto"/>
            <w:vAlign w:val="center"/>
          </w:tcPr>
          <w:p w14:paraId="4A8F1683">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不与分级护理、重症监护护理同时收取。</w:t>
            </w:r>
          </w:p>
        </w:tc>
        <w:tc>
          <w:tcPr>
            <w:tcW w:w="750" w:type="dxa"/>
            <w:shd w:val="clear" w:color="auto" w:fill="auto"/>
            <w:vAlign w:val="center"/>
          </w:tcPr>
          <w:p w14:paraId="2BA73A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80</w:t>
            </w:r>
          </w:p>
        </w:tc>
        <w:tc>
          <w:tcPr>
            <w:tcW w:w="780" w:type="dxa"/>
            <w:shd w:val="clear" w:color="auto" w:fill="auto"/>
            <w:vAlign w:val="center"/>
          </w:tcPr>
          <w:p w14:paraId="54769D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72</w:t>
            </w:r>
          </w:p>
        </w:tc>
        <w:tc>
          <w:tcPr>
            <w:tcW w:w="795" w:type="dxa"/>
            <w:shd w:val="clear" w:color="auto" w:fill="auto"/>
            <w:vAlign w:val="center"/>
          </w:tcPr>
          <w:p w14:paraId="3210DA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64</w:t>
            </w:r>
          </w:p>
        </w:tc>
        <w:tc>
          <w:tcPr>
            <w:tcW w:w="672" w:type="dxa"/>
            <w:shd w:val="clear" w:color="auto" w:fill="auto"/>
            <w:vAlign w:val="center"/>
          </w:tcPr>
          <w:p w14:paraId="67835F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甲类</w:t>
            </w:r>
          </w:p>
        </w:tc>
      </w:tr>
      <w:tr w14:paraId="316AC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9" w:hRule="atLeast"/>
        </w:trPr>
        <w:tc>
          <w:tcPr>
            <w:tcW w:w="14565" w:type="dxa"/>
            <w:gridSpan w:val="12"/>
            <w:shd w:val="clear" w:color="auto" w:fill="auto"/>
            <w:vAlign w:val="center"/>
          </w:tcPr>
          <w:p w14:paraId="2451C150">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专项护理</w:t>
            </w:r>
          </w:p>
        </w:tc>
      </w:tr>
      <w:tr w14:paraId="651C2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430" w:type="dxa"/>
            <w:shd w:val="clear" w:color="auto" w:fill="auto"/>
            <w:vAlign w:val="center"/>
          </w:tcPr>
          <w:p w14:paraId="3DFE6E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17</w:t>
            </w:r>
          </w:p>
        </w:tc>
        <w:tc>
          <w:tcPr>
            <w:tcW w:w="638" w:type="dxa"/>
            <w:shd w:val="clear" w:color="auto" w:fill="auto"/>
            <w:vAlign w:val="center"/>
          </w:tcPr>
          <w:p w14:paraId="5C7315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护理费</w:t>
            </w:r>
          </w:p>
        </w:tc>
        <w:tc>
          <w:tcPr>
            <w:tcW w:w="1035" w:type="dxa"/>
            <w:shd w:val="clear" w:color="auto" w:fill="auto"/>
            <w:vAlign w:val="center"/>
          </w:tcPr>
          <w:p w14:paraId="25959C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011303000010000</w:t>
            </w:r>
          </w:p>
        </w:tc>
        <w:tc>
          <w:tcPr>
            <w:tcW w:w="1050" w:type="dxa"/>
            <w:shd w:val="clear" w:color="auto" w:fill="auto"/>
            <w:vAlign w:val="center"/>
          </w:tcPr>
          <w:p w14:paraId="56B46F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口腔护理</w:t>
            </w:r>
          </w:p>
        </w:tc>
        <w:tc>
          <w:tcPr>
            <w:tcW w:w="2355" w:type="dxa"/>
            <w:shd w:val="clear" w:color="auto" w:fill="auto"/>
            <w:vAlign w:val="center"/>
          </w:tcPr>
          <w:p w14:paraId="122AFE4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指为高热、鼻饲、不能经口进食、人工气道等患者进行的口腔清洁护理。</w:t>
            </w:r>
          </w:p>
        </w:tc>
        <w:tc>
          <w:tcPr>
            <w:tcW w:w="3495" w:type="dxa"/>
            <w:shd w:val="clear" w:color="auto" w:fill="auto"/>
            <w:vAlign w:val="center"/>
          </w:tcPr>
          <w:p w14:paraId="787A4204">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所定价格涵盖评估病情、核对信息、检查口腔、按口腔护理操作流程清洁口腔、观察生命体征、给予健康宣教及心理护理等所需的人力资源和基本物质资源消耗。</w:t>
            </w:r>
          </w:p>
        </w:tc>
        <w:tc>
          <w:tcPr>
            <w:tcW w:w="675" w:type="dxa"/>
            <w:shd w:val="clear" w:color="auto" w:fill="auto"/>
            <w:vAlign w:val="center"/>
          </w:tcPr>
          <w:p w14:paraId="2B63728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次</w:t>
            </w:r>
          </w:p>
        </w:tc>
        <w:tc>
          <w:tcPr>
            <w:tcW w:w="1890" w:type="dxa"/>
            <w:shd w:val="clear" w:color="auto" w:fill="auto"/>
            <w:vAlign w:val="center"/>
          </w:tcPr>
          <w:p w14:paraId="5D78EEF6">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已包含在特级护理、Ⅰ级护理及重症监护护理价格构成中，不得重复收取此项收费；在为患者提供Ⅱ级护理、Ⅲ级护理，且同时提供上述三项专项护理的，可按“次”据实收费。</w:t>
            </w:r>
          </w:p>
        </w:tc>
        <w:tc>
          <w:tcPr>
            <w:tcW w:w="750" w:type="dxa"/>
            <w:shd w:val="clear" w:color="auto" w:fill="auto"/>
            <w:vAlign w:val="center"/>
          </w:tcPr>
          <w:p w14:paraId="3B004B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9</w:t>
            </w:r>
          </w:p>
        </w:tc>
        <w:tc>
          <w:tcPr>
            <w:tcW w:w="780" w:type="dxa"/>
            <w:shd w:val="clear" w:color="auto" w:fill="auto"/>
            <w:vAlign w:val="center"/>
          </w:tcPr>
          <w:p w14:paraId="4F8153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9</w:t>
            </w:r>
          </w:p>
        </w:tc>
        <w:tc>
          <w:tcPr>
            <w:tcW w:w="795" w:type="dxa"/>
            <w:shd w:val="clear" w:color="auto" w:fill="auto"/>
            <w:vAlign w:val="center"/>
          </w:tcPr>
          <w:p w14:paraId="6C62A5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7.2</w:t>
            </w:r>
          </w:p>
        </w:tc>
        <w:tc>
          <w:tcPr>
            <w:tcW w:w="672" w:type="dxa"/>
            <w:shd w:val="clear" w:color="auto" w:fill="auto"/>
            <w:vAlign w:val="center"/>
          </w:tcPr>
          <w:p w14:paraId="352C28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甲类</w:t>
            </w:r>
          </w:p>
        </w:tc>
      </w:tr>
      <w:tr w14:paraId="491FF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4" w:hRule="atLeast"/>
        </w:trPr>
        <w:tc>
          <w:tcPr>
            <w:tcW w:w="430" w:type="dxa"/>
            <w:shd w:val="clear" w:color="auto" w:fill="auto"/>
            <w:vAlign w:val="center"/>
          </w:tcPr>
          <w:p w14:paraId="1AC1D1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18</w:t>
            </w:r>
          </w:p>
        </w:tc>
        <w:tc>
          <w:tcPr>
            <w:tcW w:w="638" w:type="dxa"/>
            <w:shd w:val="clear" w:color="auto" w:fill="auto"/>
            <w:vAlign w:val="center"/>
          </w:tcPr>
          <w:p w14:paraId="556F38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护理费</w:t>
            </w:r>
          </w:p>
        </w:tc>
        <w:tc>
          <w:tcPr>
            <w:tcW w:w="1035" w:type="dxa"/>
            <w:shd w:val="clear" w:color="auto" w:fill="auto"/>
            <w:vAlign w:val="center"/>
          </w:tcPr>
          <w:p w14:paraId="2F99FD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011303000020000</w:t>
            </w:r>
          </w:p>
        </w:tc>
        <w:tc>
          <w:tcPr>
            <w:tcW w:w="1050" w:type="dxa"/>
            <w:shd w:val="clear" w:color="auto" w:fill="auto"/>
            <w:vAlign w:val="center"/>
          </w:tcPr>
          <w:p w14:paraId="2CAB6E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会阴护理</w:t>
            </w:r>
          </w:p>
        </w:tc>
        <w:tc>
          <w:tcPr>
            <w:tcW w:w="2355" w:type="dxa"/>
            <w:shd w:val="clear" w:color="auto" w:fill="auto"/>
            <w:vAlign w:val="center"/>
          </w:tcPr>
          <w:p w14:paraId="6CF3C31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指为泌尿生殖系统感染、大小便失禁、会阴部皮肤破损、留置导尿、产后及各种会阴部术后的患者进行的会阴清洁护理。</w:t>
            </w:r>
          </w:p>
        </w:tc>
        <w:tc>
          <w:tcPr>
            <w:tcW w:w="3495" w:type="dxa"/>
            <w:shd w:val="clear" w:color="auto" w:fill="auto"/>
            <w:vAlign w:val="center"/>
          </w:tcPr>
          <w:p w14:paraId="14DAE40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所定价格涵盖评估病情、核对信息、排空膀胱、擦洗或冲洗会阴、尿管，处理用物，给予做好健康教育及心理护理等所需的人力资源和基本物质资源消耗。</w:t>
            </w:r>
          </w:p>
        </w:tc>
        <w:tc>
          <w:tcPr>
            <w:tcW w:w="675" w:type="dxa"/>
            <w:shd w:val="clear" w:color="auto" w:fill="auto"/>
            <w:vAlign w:val="center"/>
          </w:tcPr>
          <w:p w14:paraId="06C068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次</w:t>
            </w:r>
          </w:p>
        </w:tc>
        <w:tc>
          <w:tcPr>
            <w:tcW w:w="1890" w:type="dxa"/>
            <w:shd w:val="clear" w:color="auto" w:fill="auto"/>
            <w:vAlign w:val="center"/>
          </w:tcPr>
          <w:p w14:paraId="2F076298">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已包含在特级护理、Ⅰ级护理及重症监护护理价格构成中，不得重复收取此项收费；在为患者提供Ⅱ级护理、Ⅲ级护理，且同时提供上述三项专项护理的，可按“次”据实收费。</w:t>
            </w:r>
          </w:p>
        </w:tc>
        <w:tc>
          <w:tcPr>
            <w:tcW w:w="750" w:type="dxa"/>
            <w:shd w:val="clear" w:color="auto" w:fill="auto"/>
            <w:vAlign w:val="center"/>
          </w:tcPr>
          <w:p w14:paraId="05366F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9</w:t>
            </w:r>
          </w:p>
        </w:tc>
        <w:tc>
          <w:tcPr>
            <w:tcW w:w="780" w:type="dxa"/>
            <w:shd w:val="clear" w:color="auto" w:fill="auto"/>
            <w:vAlign w:val="center"/>
          </w:tcPr>
          <w:p w14:paraId="0E20A0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9</w:t>
            </w:r>
          </w:p>
        </w:tc>
        <w:tc>
          <w:tcPr>
            <w:tcW w:w="795" w:type="dxa"/>
            <w:shd w:val="clear" w:color="auto" w:fill="auto"/>
            <w:vAlign w:val="center"/>
          </w:tcPr>
          <w:p w14:paraId="64F04C6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7.2</w:t>
            </w:r>
          </w:p>
        </w:tc>
        <w:tc>
          <w:tcPr>
            <w:tcW w:w="672" w:type="dxa"/>
            <w:shd w:val="clear" w:color="auto" w:fill="auto"/>
            <w:vAlign w:val="center"/>
          </w:tcPr>
          <w:p w14:paraId="2D5AEF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甲类</w:t>
            </w:r>
          </w:p>
        </w:tc>
      </w:tr>
      <w:tr w14:paraId="6169C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84" w:hRule="atLeast"/>
        </w:trPr>
        <w:tc>
          <w:tcPr>
            <w:tcW w:w="430" w:type="dxa"/>
            <w:shd w:val="clear" w:color="auto" w:fill="auto"/>
            <w:vAlign w:val="center"/>
          </w:tcPr>
          <w:p w14:paraId="38D5CF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19</w:t>
            </w:r>
          </w:p>
        </w:tc>
        <w:tc>
          <w:tcPr>
            <w:tcW w:w="638" w:type="dxa"/>
            <w:shd w:val="clear" w:color="auto" w:fill="auto"/>
            <w:vAlign w:val="center"/>
          </w:tcPr>
          <w:p w14:paraId="6C2245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护理费</w:t>
            </w:r>
          </w:p>
        </w:tc>
        <w:tc>
          <w:tcPr>
            <w:tcW w:w="1035" w:type="dxa"/>
            <w:shd w:val="clear" w:color="auto" w:fill="auto"/>
            <w:vAlign w:val="center"/>
          </w:tcPr>
          <w:p w14:paraId="29B9DA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011303000030000</w:t>
            </w:r>
          </w:p>
        </w:tc>
        <w:tc>
          <w:tcPr>
            <w:tcW w:w="1050" w:type="dxa"/>
            <w:shd w:val="clear" w:color="auto" w:fill="auto"/>
            <w:vAlign w:val="center"/>
          </w:tcPr>
          <w:p w14:paraId="73DA127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肛周护理</w:t>
            </w:r>
          </w:p>
        </w:tc>
        <w:tc>
          <w:tcPr>
            <w:tcW w:w="2355" w:type="dxa"/>
            <w:shd w:val="clear" w:color="auto" w:fill="auto"/>
            <w:vAlign w:val="center"/>
          </w:tcPr>
          <w:p w14:paraId="63D5C0B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指为肛周脓肿、大便失禁等患者进行的肛周护理。</w:t>
            </w:r>
          </w:p>
        </w:tc>
        <w:tc>
          <w:tcPr>
            <w:tcW w:w="3495" w:type="dxa"/>
            <w:shd w:val="clear" w:color="auto" w:fill="auto"/>
            <w:vAlign w:val="center"/>
          </w:tcPr>
          <w:p w14:paraId="0A54840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所定价格涵盖核对信息、准备、观察肛周皮肤黏膜、清洁，涂药或湿敷等所需的人力资源和基本物质资源消耗。</w:t>
            </w:r>
          </w:p>
        </w:tc>
        <w:tc>
          <w:tcPr>
            <w:tcW w:w="675" w:type="dxa"/>
            <w:shd w:val="clear" w:color="auto" w:fill="auto"/>
            <w:vAlign w:val="center"/>
          </w:tcPr>
          <w:p w14:paraId="5285CA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次</w:t>
            </w:r>
          </w:p>
        </w:tc>
        <w:tc>
          <w:tcPr>
            <w:tcW w:w="1890" w:type="dxa"/>
            <w:shd w:val="clear" w:color="auto" w:fill="auto"/>
            <w:vAlign w:val="center"/>
          </w:tcPr>
          <w:p w14:paraId="6B382D71">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已包含在特级护理、Ⅰ级护理及重症监护护理价格构成中，不得重复收取此项收费；在为患者提供Ⅱ级护理、Ⅲ级护理，且同时提供上述三项专项护理的，可按“次”据实收费。</w:t>
            </w:r>
          </w:p>
        </w:tc>
        <w:tc>
          <w:tcPr>
            <w:tcW w:w="750" w:type="dxa"/>
            <w:shd w:val="clear" w:color="auto" w:fill="auto"/>
            <w:vAlign w:val="center"/>
          </w:tcPr>
          <w:p w14:paraId="2ACA757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9</w:t>
            </w:r>
          </w:p>
        </w:tc>
        <w:tc>
          <w:tcPr>
            <w:tcW w:w="780" w:type="dxa"/>
            <w:shd w:val="clear" w:color="auto" w:fill="auto"/>
            <w:vAlign w:val="center"/>
          </w:tcPr>
          <w:p w14:paraId="3AECE8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9</w:t>
            </w:r>
          </w:p>
        </w:tc>
        <w:tc>
          <w:tcPr>
            <w:tcW w:w="795" w:type="dxa"/>
            <w:shd w:val="clear" w:color="auto" w:fill="auto"/>
            <w:vAlign w:val="center"/>
          </w:tcPr>
          <w:p w14:paraId="05A145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7.2</w:t>
            </w:r>
          </w:p>
        </w:tc>
        <w:tc>
          <w:tcPr>
            <w:tcW w:w="672" w:type="dxa"/>
            <w:shd w:val="clear" w:color="auto" w:fill="auto"/>
            <w:vAlign w:val="center"/>
          </w:tcPr>
          <w:p w14:paraId="37083E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甲类</w:t>
            </w:r>
          </w:p>
        </w:tc>
      </w:tr>
      <w:tr w14:paraId="48F86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80" w:hRule="atLeast"/>
        </w:trPr>
        <w:tc>
          <w:tcPr>
            <w:tcW w:w="430" w:type="dxa"/>
            <w:shd w:val="clear" w:color="auto" w:fill="auto"/>
            <w:vAlign w:val="center"/>
          </w:tcPr>
          <w:p w14:paraId="559864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20</w:t>
            </w:r>
          </w:p>
        </w:tc>
        <w:tc>
          <w:tcPr>
            <w:tcW w:w="638" w:type="dxa"/>
            <w:shd w:val="clear" w:color="auto" w:fill="auto"/>
            <w:vAlign w:val="center"/>
          </w:tcPr>
          <w:p w14:paraId="643B34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护理费</w:t>
            </w:r>
          </w:p>
        </w:tc>
        <w:tc>
          <w:tcPr>
            <w:tcW w:w="1035" w:type="dxa"/>
            <w:shd w:val="clear" w:color="auto" w:fill="auto"/>
            <w:vAlign w:val="center"/>
          </w:tcPr>
          <w:p w14:paraId="4F1F7B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011303000040000</w:t>
            </w:r>
          </w:p>
        </w:tc>
        <w:tc>
          <w:tcPr>
            <w:tcW w:w="1050" w:type="dxa"/>
            <w:shd w:val="clear" w:color="auto" w:fill="auto"/>
            <w:vAlign w:val="center"/>
          </w:tcPr>
          <w:p w14:paraId="15F6BA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置管护理（深静脉/动脉）</w:t>
            </w:r>
          </w:p>
        </w:tc>
        <w:tc>
          <w:tcPr>
            <w:tcW w:w="2355" w:type="dxa"/>
            <w:shd w:val="clear" w:color="auto" w:fill="auto"/>
            <w:vAlign w:val="center"/>
          </w:tcPr>
          <w:p w14:paraId="785F21D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对深静脉置管/动脉置管管路实施维护，使管路维持正常功能。</w:t>
            </w:r>
          </w:p>
        </w:tc>
        <w:tc>
          <w:tcPr>
            <w:tcW w:w="3495" w:type="dxa"/>
            <w:shd w:val="clear" w:color="auto" w:fill="auto"/>
            <w:vAlign w:val="center"/>
          </w:tcPr>
          <w:p w14:paraId="7451A1C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所定价格涵盖导管状态评估、管路疏通、封管，必要时更换输液接头等所需的人力资源和基本物质资源消耗。不含创口换药。</w:t>
            </w:r>
          </w:p>
        </w:tc>
        <w:tc>
          <w:tcPr>
            <w:tcW w:w="675" w:type="dxa"/>
            <w:shd w:val="clear" w:color="auto" w:fill="auto"/>
            <w:vAlign w:val="center"/>
          </w:tcPr>
          <w:p w14:paraId="1FF1072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管·日</w:t>
            </w:r>
          </w:p>
        </w:tc>
        <w:tc>
          <w:tcPr>
            <w:tcW w:w="1890" w:type="dxa"/>
            <w:shd w:val="clear" w:color="auto" w:fill="auto"/>
            <w:vAlign w:val="center"/>
          </w:tcPr>
          <w:p w14:paraId="6C25D1BE">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1.深静脉置管包括中心静脉导管(CVC)、经外周静脉置入的中心静脉导管(PICC)、输液港(PORT）等。</w:t>
            </w:r>
            <w:r>
              <w:rPr>
                <w:rFonts w:hint="eastAsia" w:ascii="仿宋_GB2312" w:hAnsi="仿宋_GB2312" w:eastAsia="仿宋_GB2312" w:cs="仿宋_GB2312"/>
                <w:i w:val="0"/>
                <w:iCs w:val="0"/>
                <w:color w:val="000000"/>
                <w:kern w:val="0"/>
                <w:sz w:val="20"/>
                <w:szCs w:val="20"/>
                <w:u w:val="none"/>
                <w:lang w:val="en-US" w:eastAsia="zh-CN" w:bidi="ar"/>
              </w:rPr>
              <w:br w:type="textWrapping"/>
            </w:r>
            <w:r>
              <w:rPr>
                <w:rFonts w:hint="eastAsia" w:ascii="仿宋_GB2312" w:hAnsi="仿宋_GB2312" w:eastAsia="仿宋_GB2312" w:cs="仿宋_GB2312"/>
                <w:i w:val="0"/>
                <w:iCs w:val="0"/>
                <w:color w:val="000000"/>
                <w:kern w:val="0"/>
                <w:sz w:val="20"/>
                <w:szCs w:val="20"/>
                <w:u w:val="none"/>
                <w:lang w:val="en-US" w:eastAsia="zh-CN" w:bidi="ar"/>
              </w:rPr>
              <w:t>2.外周静脉置管护理含在注射费价格构成中，不单独计费。</w:t>
            </w:r>
          </w:p>
        </w:tc>
        <w:tc>
          <w:tcPr>
            <w:tcW w:w="750" w:type="dxa"/>
            <w:shd w:val="clear" w:color="auto" w:fill="auto"/>
            <w:vAlign w:val="center"/>
          </w:tcPr>
          <w:p w14:paraId="40F15C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10</w:t>
            </w:r>
          </w:p>
        </w:tc>
        <w:tc>
          <w:tcPr>
            <w:tcW w:w="780" w:type="dxa"/>
            <w:shd w:val="clear" w:color="auto" w:fill="auto"/>
            <w:vAlign w:val="center"/>
          </w:tcPr>
          <w:p w14:paraId="2D9CE85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lang w:val="en-US"/>
              </w:rPr>
            </w:pPr>
            <w:r>
              <w:rPr>
                <w:rFonts w:hint="eastAsia" w:ascii="仿宋_GB2312" w:hAnsi="仿宋_GB2312" w:eastAsia="仿宋_GB2312" w:cs="仿宋_GB2312"/>
                <w:i w:val="0"/>
                <w:iCs w:val="0"/>
                <w:color w:val="000000"/>
                <w:kern w:val="0"/>
                <w:sz w:val="20"/>
                <w:szCs w:val="20"/>
                <w:u w:val="none"/>
                <w:lang w:val="en-US" w:eastAsia="zh-CN" w:bidi="ar"/>
              </w:rPr>
              <w:t>10</w:t>
            </w:r>
          </w:p>
        </w:tc>
        <w:tc>
          <w:tcPr>
            <w:tcW w:w="795" w:type="dxa"/>
            <w:shd w:val="clear" w:color="auto" w:fill="auto"/>
            <w:vAlign w:val="center"/>
          </w:tcPr>
          <w:p w14:paraId="72EDBC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lang w:val="en-US"/>
              </w:rPr>
            </w:pPr>
            <w:r>
              <w:rPr>
                <w:rFonts w:hint="eastAsia" w:ascii="仿宋_GB2312" w:hAnsi="仿宋_GB2312" w:eastAsia="仿宋_GB2312" w:cs="仿宋_GB2312"/>
                <w:i w:val="0"/>
                <w:iCs w:val="0"/>
                <w:color w:val="000000"/>
                <w:kern w:val="0"/>
                <w:sz w:val="20"/>
                <w:szCs w:val="20"/>
                <w:u w:val="none"/>
                <w:lang w:val="en-US" w:eastAsia="zh-CN" w:bidi="ar"/>
              </w:rPr>
              <w:t>10</w:t>
            </w:r>
          </w:p>
        </w:tc>
        <w:tc>
          <w:tcPr>
            <w:tcW w:w="672" w:type="dxa"/>
            <w:shd w:val="clear" w:color="auto" w:fill="auto"/>
            <w:vAlign w:val="center"/>
          </w:tcPr>
          <w:p w14:paraId="682892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甲类</w:t>
            </w:r>
          </w:p>
        </w:tc>
      </w:tr>
      <w:tr w14:paraId="38FCF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5" w:hRule="atLeast"/>
        </w:trPr>
        <w:tc>
          <w:tcPr>
            <w:tcW w:w="430" w:type="dxa"/>
            <w:shd w:val="clear" w:color="auto" w:fill="auto"/>
            <w:vAlign w:val="center"/>
          </w:tcPr>
          <w:p w14:paraId="4C4B61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21</w:t>
            </w:r>
          </w:p>
        </w:tc>
        <w:tc>
          <w:tcPr>
            <w:tcW w:w="638" w:type="dxa"/>
            <w:shd w:val="clear" w:color="auto" w:fill="auto"/>
            <w:vAlign w:val="center"/>
          </w:tcPr>
          <w:p w14:paraId="493A5A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护理费</w:t>
            </w:r>
          </w:p>
        </w:tc>
        <w:tc>
          <w:tcPr>
            <w:tcW w:w="1035" w:type="dxa"/>
            <w:shd w:val="clear" w:color="auto" w:fill="auto"/>
            <w:vAlign w:val="center"/>
          </w:tcPr>
          <w:p w14:paraId="63F873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011303000050000</w:t>
            </w:r>
          </w:p>
        </w:tc>
        <w:tc>
          <w:tcPr>
            <w:tcW w:w="1050" w:type="dxa"/>
            <w:shd w:val="clear" w:color="auto" w:fill="auto"/>
            <w:vAlign w:val="center"/>
          </w:tcPr>
          <w:p w14:paraId="518091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气管插管护理</w:t>
            </w:r>
          </w:p>
        </w:tc>
        <w:tc>
          <w:tcPr>
            <w:tcW w:w="2355" w:type="dxa"/>
            <w:shd w:val="clear" w:color="auto" w:fill="auto"/>
            <w:vAlign w:val="center"/>
          </w:tcPr>
          <w:p w14:paraId="7550995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对气管插管实施维护，维持正常通气功能。</w:t>
            </w:r>
          </w:p>
        </w:tc>
        <w:tc>
          <w:tcPr>
            <w:tcW w:w="3495" w:type="dxa"/>
            <w:shd w:val="clear" w:color="auto" w:fill="auto"/>
            <w:vAlign w:val="center"/>
          </w:tcPr>
          <w:p w14:paraId="7D08022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所定价格涵盖监测并记录导管深度与气囊压力、气道给药及气囊管理、清理导管污物、更换牙垫及固定物，必要时行撤机拔管前评估（含人工气囊压力测定及连续测定、自主呼吸试验、气囊漏气试验、咳嗽风流速试验）等所需的人力资源和基本物质资源消耗。不含吸痰。</w:t>
            </w:r>
          </w:p>
        </w:tc>
        <w:tc>
          <w:tcPr>
            <w:tcW w:w="675" w:type="dxa"/>
            <w:shd w:val="clear" w:color="auto" w:fill="auto"/>
            <w:vAlign w:val="center"/>
          </w:tcPr>
          <w:p w14:paraId="610240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日</w:t>
            </w:r>
          </w:p>
        </w:tc>
        <w:tc>
          <w:tcPr>
            <w:tcW w:w="1890" w:type="dxa"/>
            <w:shd w:val="clear" w:color="auto" w:fill="auto"/>
            <w:vAlign w:val="center"/>
          </w:tcPr>
          <w:p w14:paraId="29C0BC6D">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iCs w:val="0"/>
                <w:color w:val="000000"/>
                <w:sz w:val="20"/>
                <w:szCs w:val="20"/>
                <w:u w:val="none"/>
              </w:rPr>
            </w:pPr>
          </w:p>
        </w:tc>
        <w:tc>
          <w:tcPr>
            <w:tcW w:w="750" w:type="dxa"/>
            <w:shd w:val="clear" w:color="auto" w:fill="auto"/>
            <w:vAlign w:val="center"/>
          </w:tcPr>
          <w:p w14:paraId="59E633B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42</w:t>
            </w:r>
          </w:p>
        </w:tc>
        <w:tc>
          <w:tcPr>
            <w:tcW w:w="780" w:type="dxa"/>
            <w:shd w:val="clear" w:color="auto" w:fill="auto"/>
            <w:vAlign w:val="center"/>
          </w:tcPr>
          <w:p w14:paraId="7D05414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37.8</w:t>
            </w:r>
          </w:p>
        </w:tc>
        <w:tc>
          <w:tcPr>
            <w:tcW w:w="795" w:type="dxa"/>
            <w:shd w:val="clear" w:color="auto" w:fill="auto"/>
            <w:vAlign w:val="center"/>
          </w:tcPr>
          <w:p w14:paraId="7CFCD1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33.6</w:t>
            </w:r>
          </w:p>
        </w:tc>
        <w:tc>
          <w:tcPr>
            <w:tcW w:w="672" w:type="dxa"/>
            <w:shd w:val="clear" w:color="auto" w:fill="auto"/>
            <w:vAlign w:val="center"/>
          </w:tcPr>
          <w:p w14:paraId="355ACE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甲类</w:t>
            </w:r>
          </w:p>
        </w:tc>
      </w:tr>
      <w:tr w14:paraId="43155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8" w:hRule="atLeast"/>
        </w:trPr>
        <w:tc>
          <w:tcPr>
            <w:tcW w:w="430" w:type="dxa"/>
            <w:shd w:val="clear" w:color="auto" w:fill="auto"/>
            <w:vAlign w:val="center"/>
          </w:tcPr>
          <w:p w14:paraId="1D5E53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22</w:t>
            </w:r>
          </w:p>
        </w:tc>
        <w:tc>
          <w:tcPr>
            <w:tcW w:w="638" w:type="dxa"/>
            <w:shd w:val="clear" w:color="auto" w:fill="auto"/>
            <w:vAlign w:val="center"/>
          </w:tcPr>
          <w:p w14:paraId="1A2897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护理费</w:t>
            </w:r>
          </w:p>
        </w:tc>
        <w:tc>
          <w:tcPr>
            <w:tcW w:w="1035" w:type="dxa"/>
            <w:shd w:val="clear" w:color="auto" w:fill="auto"/>
            <w:vAlign w:val="center"/>
          </w:tcPr>
          <w:p w14:paraId="7F42BB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011303000060000</w:t>
            </w:r>
          </w:p>
        </w:tc>
        <w:tc>
          <w:tcPr>
            <w:tcW w:w="1050" w:type="dxa"/>
            <w:shd w:val="clear" w:color="auto" w:fill="auto"/>
            <w:vAlign w:val="center"/>
          </w:tcPr>
          <w:p w14:paraId="5EB0F9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气管切开护理</w:t>
            </w:r>
          </w:p>
        </w:tc>
        <w:tc>
          <w:tcPr>
            <w:tcW w:w="2355" w:type="dxa"/>
            <w:shd w:val="clear" w:color="auto" w:fill="auto"/>
            <w:vAlign w:val="center"/>
          </w:tcPr>
          <w:p w14:paraId="524B939F">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对气管切开套管（含经皮气切插管）实施维护，维持正常通气功能。</w:t>
            </w:r>
          </w:p>
        </w:tc>
        <w:tc>
          <w:tcPr>
            <w:tcW w:w="3495" w:type="dxa"/>
            <w:shd w:val="clear" w:color="auto" w:fill="auto"/>
            <w:vAlign w:val="center"/>
          </w:tcPr>
          <w:p w14:paraId="6ACC51A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所定价格涵盖观察气切周围皮肤、套管取出清洁并消毒或更换套管、更换敷料及固定物，必要时行气道给药等所需的人力资源和基本物质资源消耗。不含吸痰。</w:t>
            </w:r>
          </w:p>
        </w:tc>
        <w:tc>
          <w:tcPr>
            <w:tcW w:w="675" w:type="dxa"/>
            <w:shd w:val="clear" w:color="auto" w:fill="auto"/>
            <w:vAlign w:val="center"/>
          </w:tcPr>
          <w:p w14:paraId="2A42E1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日</w:t>
            </w:r>
          </w:p>
        </w:tc>
        <w:tc>
          <w:tcPr>
            <w:tcW w:w="1890" w:type="dxa"/>
            <w:shd w:val="clear" w:color="auto" w:fill="auto"/>
            <w:vAlign w:val="center"/>
          </w:tcPr>
          <w:p w14:paraId="1DA9691F">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更换套管是置管的延伸服务，按照医生医嘱更换套管，单独收取耗材费用。</w:t>
            </w:r>
          </w:p>
        </w:tc>
        <w:tc>
          <w:tcPr>
            <w:tcW w:w="750" w:type="dxa"/>
            <w:shd w:val="clear" w:color="auto" w:fill="auto"/>
            <w:vAlign w:val="center"/>
          </w:tcPr>
          <w:p w14:paraId="624D81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50</w:t>
            </w:r>
          </w:p>
        </w:tc>
        <w:tc>
          <w:tcPr>
            <w:tcW w:w="780" w:type="dxa"/>
            <w:shd w:val="clear" w:color="auto" w:fill="auto"/>
            <w:vAlign w:val="center"/>
          </w:tcPr>
          <w:p w14:paraId="326FD9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45</w:t>
            </w:r>
          </w:p>
        </w:tc>
        <w:tc>
          <w:tcPr>
            <w:tcW w:w="795" w:type="dxa"/>
            <w:shd w:val="clear" w:color="auto" w:fill="auto"/>
            <w:vAlign w:val="center"/>
          </w:tcPr>
          <w:p w14:paraId="1237D3A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40</w:t>
            </w:r>
          </w:p>
        </w:tc>
        <w:tc>
          <w:tcPr>
            <w:tcW w:w="672" w:type="dxa"/>
            <w:shd w:val="clear" w:color="auto" w:fill="auto"/>
            <w:vAlign w:val="center"/>
          </w:tcPr>
          <w:p w14:paraId="403830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甲类</w:t>
            </w:r>
          </w:p>
        </w:tc>
      </w:tr>
      <w:tr w14:paraId="61D80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98" w:hRule="atLeast"/>
        </w:trPr>
        <w:tc>
          <w:tcPr>
            <w:tcW w:w="430" w:type="dxa"/>
            <w:shd w:val="clear" w:color="auto" w:fill="auto"/>
            <w:vAlign w:val="center"/>
          </w:tcPr>
          <w:p w14:paraId="18C0915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23</w:t>
            </w:r>
          </w:p>
        </w:tc>
        <w:tc>
          <w:tcPr>
            <w:tcW w:w="638" w:type="dxa"/>
            <w:shd w:val="clear" w:color="auto" w:fill="auto"/>
            <w:vAlign w:val="center"/>
          </w:tcPr>
          <w:p w14:paraId="08EC0E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护理费</w:t>
            </w:r>
          </w:p>
        </w:tc>
        <w:tc>
          <w:tcPr>
            <w:tcW w:w="1035" w:type="dxa"/>
            <w:shd w:val="clear" w:color="auto" w:fill="auto"/>
            <w:vAlign w:val="center"/>
          </w:tcPr>
          <w:p w14:paraId="106804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011303000070000</w:t>
            </w:r>
          </w:p>
        </w:tc>
        <w:tc>
          <w:tcPr>
            <w:tcW w:w="1050" w:type="dxa"/>
            <w:shd w:val="clear" w:color="auto" w:fill="auto"/>
            <w:vAlign w:val="center"/>
          </w:tcPr>
          <w:p w14:paraId="51883F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引流管护理</w:t>
            </w:r>
          </w:p>
        </w:tc>
        <w:tc>
          <w:tcPr>
            <w:tcW w:w="2355" w:type="dxa"/>
            <w:shd w:val="clear" w:color="auto" w:fill="auto"/>
            <w:vAlign w:val="center"/>
          </w:tcPr>
          <w:p w14:paraId="40151B7B">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对各种引流管路（含尿管、胃肠减压管路等）实施维护，保持引流通畅。</w:t>
            </w:r>
          </w:p>
        </w:tc>
        <w:tc>
          <w:tcPr>
            <w:tcW w:w="3495" w:type="dxa"/>
            <w:shd w:val="clear" w:color="auto" w:fill="auto"/>
            <w:vAlign w:val="center"/>
          </w:tcPr>
          <w:p w14:paraId="7499752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所定价格涵盖观察引流液性状及记量、检查引流管位置并固定、冲洗、更换引流袋等所需的人力资源和基本物质资源消耗。不含创口换药。</w:t>
            </w:r>
          </w:p>
        </w:tc>
        <w:tc>
          <w:tcPr>
            <w:tcW w:w="675" w:type="dxa"/>
            <w:shd w:val="clear" w:color="auto" w:fill="auto"/>
            <w:vAlign w:val="center"/>
          </w:tcPr>
          <w:p w14:paraId="361DEE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管·日</w:t>
            </w:r>
          </w:p>
        </w:tc>
        <w:tc>
          <w:tcPr>
            <w:tcW w:w="1890" w:type="dxa"/>
            <w:shd w:val="clear" w:color="auto" w:fill="auto"/>
            <w:vAlign w:val="center"/>
          </w:tcPr>
          <w:p w14:paraId="4A924194">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闭式引流护理加收50%。</w:t>
            </w:r>
          </w:p>
        </w:tc>
        <w:tc>
          <w:tcPr>
            <w:tcW w:w="750" w:type="dxa"/>
            <w:shd w:val="clear" w:color="auto" w:fill="auto"/>
            <w:vAlign w:val="center"/>
          </w:tcPr>
          <w:p w14:paraId="0C4525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10</w:t>
            </w:r>
          </w:p>
        </w:tc>
        <w:tc>
          <w:tcPr>
            <w:tcW w:w="780" w:type="dxa"/>
            <w:shd w:val="clear" w:color="auto" w:fill="auto"/>
            <w:vAlign w:val="center"/>
          </w:tcPr>
          <w:p w14:paraId="2F3523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9</w:t>
            </w:r>
          </w:p>
        </w:tc>
        <w:tc>
          <w:tcPr>
            <w:tcW w:w="795" w:type="dxa"/>
            <w:shd w:val="clear" w:color="auto" w:fill="auto"/>
            <w:vAlign w:val="center"/>
          </w:tcPr>
          <w:p w14:paraId="13EEA8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8</w:t>
            </w:r>
          </w:p>
        </w:tc>
        <w:tc>
          <w:tcPr>
            <w:tcW w:w="672" w:type="dxa"/>
            <w:shd w:val="clear" w:color="auto" w:fill="auto"/>
            <w:vAlign w:val="center"/>
          </w:tcPr>
          <w:p w14:paraId="0794F6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甲类</w:t>
            </w:r>
          </w:p>
        </w:tc>
      </w:tr>
      <w:tr w14:paraId="75138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98" w:hRule="atLeast"/>
        </w:trPr>
        <w:tc>
          <w:tcPr>
            <w:tcW w:w="430" w:type="dxa"/>
            <w:shd w:val="clear" w:color="auto" w:fill="auto"/>
            <w:vAlign w:val="center"/>
          </w:tcPr>
          <w:p w14:paraId="55066C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24</w:t>
            </w:r>
          </w:p>
        </w:tc>
        <w:tc>
          <w:tcPr>
            <w:tcW w:w="638" w:type="dxa"/>
            <w:shd w:val="clear" w:color="auto" w:fill="auto"/>
            <w:vAlign w:val="center"/>
          </w:tcPr>
          <w:p w14:paraId="4E9328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护理费</w:t>
            </w:r>
          </w:p>
        </w:tc>
        <w:tc>
          <w:tcPr>
            <w:tcW w:w="1035" w:type="dxa"/>
            <w:shd w:val="clear" w:color="auto" w:fill="auto"/>
            <w:vAlign w:val="center"/>
          </w:tcPr>
          <w:p w14:paraId="7636A6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011303000070001</w:t>
            </w:r>
          </w:p>
        </w:tc>
        <w:tc>
          <w:tcPr>
            <w:tcW w:w="1050" w:type="dxa"/>
            <w:shd w:val="clear" w:color="auto" w:fill="auto"/>
            <w:vAlign w:val="center"/>
          </w:tcPr>
          <w:p w14:paraId="3513F2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引流管护理-闭式引流护理（加收）</w:t>
            </w:r>
          </w:p>
        </w:tc>
        <w:tc>
          <w:tcPr>
            <w:tcW w:w="2355" w:type="dxa"/>
            <w:shd w:val="clear" w:color="auto" w:fill="auto"/>
            <w:vAlign w:val="center"/>
          </w:tcPr>
          <w:p w14:paraId="627D6F8B">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对各种引流管路（含尿管、胃肠减压管路等）实施维护，保持引流通畅。</w:t>
            </w:r>
          </w:p>
        </w:tc>
        <w:tc>
          <w:tcPr>
            <w:tcW w:w="3495" w:type="dxa"/>
            <w:shd w:val="clear" w:color="auto" w:fill="auto"/>
            <w:vAlign w:val="center"/>
          </w:tcPr>
          <w:p w14:paraId="4B8A8D0A">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iCs w:val="0"/>
                <w:color w:val="000000"/>
                <w:sz w:val="20"/>
                <w:szCs w:val="20"/>
                <w:u w:val="none"/>
              </w:rPr>
            </w:pPr>
          </w:p>
        </w:tc>
        <w:tc>
          <w:tcPr>
            <w:tcW w:w="675" w:type="dxa"/>
            <w:shd w:val="clear" w:color="auto" w:fill="auto"/>
            <w:vAlign w:val="center"/>
          </w:tcPr>
          <w:p w14:paraId="6E0E24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管·日</w:t>
            </w:r>
          </w:p>
        </w:tc>
        <w:tc>
          <w:tcPr>
            <w:tcW w:w="1890" w:type="dxa"/>
            <w:shd w:val="clear" w:color="auto" w:fill="auto"/>
            <w:vAlign w:val="center"/>
          </w:tcPr>
          <w:p w14:paraId="58D1577B">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iCs w:val="0"/>
                <w:color w:val="000000"/>
                <w:sz w:val="20"/>
                <w:szCs w:val="20"/>
                <w:u w:val="none"/>
              </w:rPr>
            </w:pPr>
          </w:p>
        </w:tc>
        <w:tc>
          <w:tcPr>
            <w:tcW w:w="750" w:type="dxa"/>
            <w:shd w:val="clear" w:color="auto" w:fill="auto"/>
            <w:vAlign w:val="center"/>
          </w:tcPr>
          <w:p w14:paraId="583C45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w:t>
            </w:r>
          </w:p>
        </w:tc>
        <w:tc>
          <w:tcPr>
            <w:tcW w:w="780" w:type="dxa"/>
            <w:shd w:val="clear" w:color="auto" w:fill="auto"/>
            <w:vAlign w:val="center"/>
          </w:tcPr>
          <w:p w14:paraId="1BDF43A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4.5</w:t>
            </w:r>
          </w:p>
        </w:tc>
        <w:tc>
          <w:tcPr>
            <w:tcW w:w="795" w:type="dxa"/>
            <w:shd w:val="clear" w:color="auto" w:fill="auto"/>
            <w:vAlign w:val="center"/>
          </w:tcPr>
          <w:p w14:paraId="3201DD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4</w:t>
            </w:r>
          </w:p>
        </w:tc>
        <w:tc>
          <w:tcPr>
            <w:tcW w:w="672" w:type="dxa"/>
            <w:shd w:val="clear" w:color="auto" w:fill="auto"/>
            <w:vAlign w:val="center"/>
          </w:tcPr>
          <w:p w14:paraId="12E180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甲类</w:t>
            </w:r>
          </w:p>
        </w:tc>
      </w:tr>
      <w:tr w14:paraId="76C6F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98" w:hRule="atLeast"/>
        </w:trPr>
        <w:tc>
          <w:tcPr>
            <w:tcW w:w="430" w:type="dxa"/>
            <w:shd w:val="clear" w:color="auto" w:fill="auto"/>
            <w:vAlign w:val="center"/>
          </w:tcPr>
          <w:p w14:paraId="2573DB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25</w:t>
            </w:r>
          </w:p>
        </w:tc>
        <w:tc>
          <w:tcPr>
            <w:tcW w:w="638" w:type="dxa"/>
            <w:shd w:val="clear" w:color="auto" w:fill="auto"/>
            <w:vAlign w:val="center"/>
          </w:tcPr>
          <w:p w14:paraId="4B0655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护理费</w:t>
            </w:r>
          </w:p>
        </w:tc>
        <w:tc>
          <w:tcPr>
            <w:tcW w:w="1035" w:type="dxa"/>
            <w:shd w:val="clear" w:color="auto" w:fill="auto"/>
            <w:vAlign w:val="center"/>
          </w:tcPr>
          <w:p w14:paraId="65DFD2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011303000080000</w:t>
            </w:r>
          </w:p>
        </w:tc>
        <w:tc>
          <w:tcPr>
            <w:tcW w:w="1050" w:type="dxa"/>
            <w:shd w:val="clear" w:color="auto" w:fill="auto"/>
            <w:vAlign w:val="center"/>
          </w:tcPr>
          <w:p w14:paraId="664295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肠内营养输注护理</w:t>
            </w:r>
          </w:p>
        </w:tc>
        <w:tc>
          <w:tcPr>
            <w:tcW w:w="2355" w:type="dxa"/>
            <w:shd w:val="clear" w:color="auto" w:fill="auto"/>
            <w:vAlign w:val="center"/>
          </w:tcPr>
          <w:p w14:paraId="1D4D2DA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指经鼻胃/肠管、造瘘等途径灌注药物或要素饮食的患者的护理。</w:t>
            </w:r>
          </w:p>
        </w:tc>
        <w:tc>
          <w:tcPr>
            <w:tcW w:w="3495" w:type="dxa"/>
            <w:shd w:val="clear" w:color="auto" w:fill="auto"/>
            <w:vAlign w:val="center"/>
          </w:tcPr>
          <w:p w14:paraId="2FDFF5A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所定价格涵盖患者肠内营养期间，评估病情、固定/冲洗管路、观察管路和患者腹部体征及排泄情况、心理护理、健康教育等所需的人力资源和基本物质资源消耗。不含创口换药。</w:t>
            </w:r>
          </w:p>
        </w:tc>
        <w:tc>
          <w:tcPr>
            <w:tcW w:w="675" w:type="dxa"/>
            <w:shd w:val="clear" w:color="auto" w:fill="auto"/>
            <w:vAlign w:val="center"/>
          </w:tcPr>
          <w:p w14:paraId="53E32D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日</w:t>
            </w:r>
          </w:p>
        </w:tc>
        <w:tc>
          <w:tcPr>
            <w:tcW w:w="1890" w:type="dxa"/>
            <w:shd w:val="clear" w:color="auto" w:fill="auto"/>
            <w:vAlign w:val="center"/>
          </w:tcPr>
          <w:p w14:paraId="14D412AD">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iCs w:val="0"/>
                <w:color w:val="000000"/>
                <w:sz w:val="20"/>
                <w:szCs w:val="20"/>
                <w:u w:val="none"/>
              </w:rPr>
            </w:pPr>
          </w:p>
        </w:tc>
        <w:tc>
          <w:tcPr>
            <w:tcW w:w="750" w:type="dxa"/>
            <w:shd w:val="clear" w:color="auto" w:fill="auto"/>
            <w:vAlign w:val="center"/>
          </w:tcPr>
          <w:p w14:paraId="37A7FE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10</w:t>
            </w:r>
          </w:p>
        </w:tc>
        <w:tc>
          <w:tcPr>
            <w:tcW w:w="780" w:type="dxa"/>
            <w:shd w:val="clear" w:color="auto" w:fill="auto"/>
            <w:vAlign w:val="center"/>
          </w:tcPr>
          <w:p w14:paraId="36877E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9</w:t>
            </w:r>
          </w:p>
        </w:tc>
        <w:tc>
          <w:tcPr>
            <w:tcW w:w="795" w:type="dxa"/>
            <w:shd w:val="clear" w:color="auto" w:fill="auto"/>
            <w:vAlign w:val="center"/>
          </w:tcPr>
          <w:p w14:paraId="6F38105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8</w:t>
            </w:r>
          </w:p>
        </w:tc>
        <w:tc>
          <w:tcPr>
            <w:tcW w:w="672" w:type="dxa"/>
            <w:shd w:val="clear" w:color="auto" w:fill="auto"/>
            <w:vAlign w:val="center"/>
          </w:tcPr>
          <w:p w14:paraId="1FA321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自费</w:t>
            </w:r>
          </w:p>
        </w:tc>
      </w:tr>
      <w:tr w14:paraId="70DB8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8" w:hRule="atLeast"/>
        </w:trPr>
        <w:tc>
          <w:tcPr>
            <w:tcW w:w="430" w:type="dxa"/>
            <w:shd w:val="clear" w:color="auto" w:fill="auto"/>
            <w:vAlign w:val="center"/>
          </w:tcPr>
          <w:p w14:paraId="53D98A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26</w:t>
            </w:r>
          </w:p>
        </w:tc>
        <w:tc>
          <w:tcPr>
            <w:tcW w:w="638" w:type="dxa"/>
            <w:shd w:val="clear" w:color="auto" w:fill="auto"/>
            <w:vAlign w:val="center"/>
          </w:tcPr>
          <w:p w14:paraId="347A34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护理费</w:t>
            </w:r>
          </w:p>
        </w:tc>
        <w:tc>
          <w:tcPr>
            <w:tcW w:w="1035" w:type="dxa"/>
            <w:shd w:val="clear" w:color="auto" w:fill="auto"/>
            <w:vAlign w:val="center"/>
          </w:tcPr>
          <w:p w14:paraId="4CC316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011303000090000</w:t>
            </w:r>
          </w:p>
        </w:tc>
        <w:tc>
          <w:tcPr>
            <w:tcW w:w="1050" w:type="dxa"/>
            <w:shd w:val="clear" w:color="auto" w:fill="auto"/>
            <w:vAlign w:val="center"/>
          </w:tcPr>
          <w:p w14:paraId="420CA8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造口/造瘘护理</w:t>
            </w:r>
          </w:p>
        </w:tc>
        <w:tc>
          <w:tcPr>
            <w:tcW w:w="2355" w:type="dxa"/>
            <w:shd w:val="clear" w:color="auto" w:fill="auto"/>
            <w:vAlign w:val="center"/>
          </w:tcPr>
          <w:p w14:paraId="7A25AD11">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指对造口/造瘘施维护，维持患者排泄通畅的护理。</w:t>
            </w:r>
          </w:p>
        </w:tc>
        <w:tc>
          <w:tcPr>
            <w:tcW w:w="3495" w:type="dxa"/>
            <w:shd w:val="clear" w:color="auto" w:fill="auto"/>
            <w:vAlign w:val="center"/>
          </w:tcPr>
          <w:p w14:paraId="5024FC1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所定价格涵盖造口评估、观察排泄物/分泌物性状、清洁造口及周围皮肤、定期更换造口装置、心理护理、造口/造瘘护理健康指导等所需的人力资源和基本物质资源消耗。不含创口换药。</w:t>
            </w:r>
          </w:p>
        </w:tc>
        <w:tc>
          <w:tcPr>
            <w:tcW w:w="675" w:type="dxa"/>
            <w:shd w:val="clear" w:color="auto" w:fill="auto"/>
            <w:vAlign w:val="center"/>
          </w:tcPr>
          <w:p w14:paraId="243B25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每造口/每造瘘·日</w:t>
            </w:r>
          </w:p>
        </w:tc>
        <w:tc>
          <w:tcPr>
            <w:tcW w:w="1890" w:type="dxa"/>
            <w:shd w:val="clear" w:color="auto" w:fill="auto"/>
            <w:vAlign w:val="center"/>
          </w:tcPr>
          <w:p w14:paraId="1F452A6B">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iCs w:val="0"/>
                <w:color w:val="000000"/>
                <w:sz w:val="20"/>
                <w:szCs w:val="20"/>
                <w:u w:val="none"/>
              </w:rPr>
            </w:pPr>
          </w:p>
        </w:tc>
        <w:tc>
          <w:tcPr>
            <w:tcW w:w="750" w:type="dxa"/>
            <w:shd w:val="clear" w:color="auto" w:fill="auto"/>
            <w:vAlign w:val="center"/>
          </w:tcPr>
          <w:p w14:paraId="05ED7B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15</w:t>
            </w:r>
          </w:p>
        </w:tc>
        <w:tc>
          <w:tcPr>
            <w:tcW w:w="780" w:type="dxa"/>
            <w:shd w:val="clear" w:color="auto" w:fill="auto"/>
            <w:vAlign w:val="center"/>
          </w:tcPr>
          <w:p w14:paraId="3D0AF7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15</w:t>
            </w:r>
          </w:p>
        </w:tc>
        <w:tc>
          <w:tcPr>
            <w:tcW w:w="795" w:type="dxa"/>
            <w:shd w:val="clear" w:color="auto" w:fill="auto"/>
            <w:vAlign w:val="center"/>
          </w:tcPr>
          <w:p w14:paraId="17FD2E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lang w:val="en-US"/>
              </w:rPr>
            </w:pPr>
            <w:r>
              <w:rPr>
                <w:rFonts w:hint="eastAsia" w:ascii="仿宋_GB2312" w:hAnsi="仿宋_GB2312" w:eastAsia="仿宋_GB2312" w:cs="仿宋_GB2312"/>
                <w:i w:val="0"/>
                <w:iCs w:val="0"/>
                <w:color w:val="000000"/>
                <w:kern w:val="0"/>
                <w:sz w:val="20"/>
                <w:szCs w:val="20"/>
                <w:u w:val="none"/>
                <w:lang w:val="en-US" w:eastAsia="zh-CN" w:bidi="ar"/>
              </w:rPr>
              <w:t>13.5</w:t>
            </w:r>
          </w:p>
        </w:tc>
        <w:tc>
          <w:tcPr>
            <w:tcW w:w="672" w:type="dxa"/>
            <w:shd w:val="clear" w:color="auto" w:fill="auto"/>
            <w:vAlign w:val="center"/>
          </w:tcPr>
          <w:p w14:paraId="3D55D3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乙类</w:t>
            </w:r>
          </w:p>
        </w:tc>
      </w:tr>
      <w:tr w14:paraId="3DE4A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0" w:hRule="atLeast"/>
        </w:trPr>
        <w:tc>
          <w:tcPr>
            <w:tcW w:w="430" w:type="dxa"/>
            <w:shd w:val="clear" w:color="auto" w:fill="auto"/>
            <w:vAlign w:val="center"/>
          </w:tcPr>
          <w:p w14:paraId="009903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27</w:t>
            </w:r>
          </w:p>
        </w:tc>
        <w:tc>
          <w:tcPr>
            <w:tcW w:w="638" w:type="dxa"/>
            <w:shd w:val="clear" w:color="auto" w:fill="auto"/>
            <w:vAlign w:val="center"/>
          </w:tcPr>
          <w:p w14:paraId="5B2FF7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护理费</w:t>
            </w:r>
          </w:p>
        </w:tc>
        <w:tc>
          <w:tcPr>
            <w:tcW w:w="1035" w:type="dxa"/>
            <w:shd w:val="clear" w:color="auto" w:fill="auto"/>
            <w:vAlign w:val="center"/>
          </w:tcPr>
          <w:p w14:paraId="39E90D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011303000100000</w:t>
            </w:r>
          </w:p>
        </w:tc>
        <w:tc>
          <w:tcPr>
            <w:tcW w:w="1050" w:type="dxa"/>
            <w:shd w:val="clear" w:color="auto" w:fill="auto"/>
            <w:vAlign w:val="center"/>
          </w:tcPr>
          <w:p w14:paraId="741D178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压力性损伤护理</w:t>
            </w:r>
          </w:p>
        </w:tc>
        <w:tc>
          <w:tcPr>
            <w:tcW w:w="2355" w:type="dxa"/>
            <w:shd w:val="clear" w:color="auto" w:fill="auto"/>
            <w:vAlign w:val="center"/>
          </w:tcPr>
          <w:p w14:paraId="6829AE3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指对有压力性损伤风险或已出现压力性损伤患者，实施预防或护理。</w:t>
            </w:r>
          </w:p>
        </w:tc>
        <w:tc>
          <w:tcPr>
            <w:tcW w:w="3495" w:type="dxa"/>
            <w:shd w:val="clear" w:color="auto" w:fill="auto"/>
            <w:vAlign w:val="center"/>
          </w:tcPr>
          <w:p w14:paraId="4B4A4C9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所定价格涵盖评估患者病情及配合程度、评估压疮分级和危险因素、协助患者取适当体位、采用敷料等支撑面减压保护、定时翻身、协助患者恢复舒适体位、处理用物、记录、健康教育及心理护理。必要时进行创面抗感染、渗液管理和周围皮肤保护等所需的人力资源和基本物质资源消耗。不含换药。</w:t>
            </w:r>
          </w:p>
        </w:tc>
        <w:tc>
          <w:tcPr>
            <w:tcW w:w="675" w:type="dxa"/>
            <w:shd w:val="clear" w:color="auto" w:fill="auto"/>
            <w:vAlign w:val="center"/>
          </w:tcPr>
          <w:p w14:paraId="45ABC9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日</w:t>
            </w:r>
          </w:p>
        </w:tc>
        <w:tc>
          <w:tcPr>
            <w:tcW w:w="1890" w:type="dxa"/>
            <w:shd w:val="clear" w:color="auto" w:fill="auto"/>
            <w:vAlign w:val="center"/>
          </w:tcPr>
          <w:p w14:paraId="1EFADDF9">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iCs w:val="0"/>
                <w:color w:val="000000"/>
                <w:sz w:val="20"/>
                <w:szCs w:val="20"/>
                <w:u w:val="none"/>
              </w:rPr>
            </w:pPr>
          </w:p>
        </w:tc>
        <w:tc>
          <w:tcPr>
            <w:tcW w:w="750" w:type="dxa"/>
            <w:shd w:val="clear" w:color="auto" w:fill="auto"/>
            <w:vAlign w:val="center"/>
          </w:tcPr>
          <w:p w14:paraId="660D80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13</w:t>
            </w:r>
          </w:p>
        </w:tc>
        <w:tc>
          <w:tcPr>
            <w:tcW w:w="780" w:type="dxa"/>
            <w:shd w:val="clear" w:color="auto" w:fill="auto"/>
            <w:vAlign w:val="center"/>
          </w:tcPr>
          <w:p w14:paraId="4CA84C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11.7</w:t>
            </w:r>
          </w:p>
        </w:tc>
        <w:tc>
          <w:tcPr>
            <w:tcW w:w="795" w:type="dxa"/>
            <w:shd w:val="clear" w:color="auto" w:fill="auto"/>
            <w:vAlign w:val="center"/>
          </w:tcPr>
          <w:p w14:paraId="6E0857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10.4</w:t>
            </w:r>
          </w:p>
        </w:tc>
        <w:tc>
          <w:tcPr>
            <w:tcW w:w="672" w:type="dxa"/>
            <w:shd w:val="clear" w:color="auto" w:fill="auto"/>
            <w:vAlign w:val="center"/>
          </w:tcPr>
          <w:p w14:paraId="5E52A9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甲类</w:t>
            </w:r>
          </w:p>
        </w:tc>
      </w:tr>
      <w:tr w14:paraId="78589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030" w:hRule="atLeast"/>
        </w:trPr>
        <w:tc>
          <w:tcPr>
            <w:tcW w:w="430" w:type="dxa"/>
            <w:shd w:val="clear" w:color="auto" w:fill="auto"/>
            <w:vAlign w:val="center"/>
          </w:tcPr>
          <w:p w14:paraId="0F4465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28</w:t>
            </w:r>
          </w:p>
        </w:tc>
        <w:tc>
          <w:tcPr>
            <w:tcW w:w="638" w:type="dxa"/>
            <w:shd w:val="clear" w:color="auto" w:fill="auto"/>
            <w:vAlign w:val="center"/>
          </w:tcPr>
          <w:p w14:paraId="6ACF4D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护理费</w:t>
            </w:r>
          </w:p>
        </w:tc>
        <w:tc>
          <w:tcPr>
            <w:tcW w:w="1035" w:type="dxa"/>
            <w:shd w:val="clear" w:color="auto" w:fill="auto"/>
            <w:vAlign w:val="center"/>
          </w:tcPr>
          <w:p w14:paraId="7BD0BB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011303000110000</w:t>
            </w:r>
          </w:p>
        </w:tc>
        <w:tc>
          <w:tcPr>
            <w:tcW w:w="1050" w:type="dxa"/>
            <w:shd w:val="clear" w:color="auto" w:fill="auto"/>
            <w:vAlign w:val="center"/>
          </w:tcPr>
          <w:p w14:paraId="6FC673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免陪照护服务</w:t>
            </w:r>
          </w:p>
        </w:tc>
        <w:tc>
          <w:tcPr>
            <w:tcW w:w="2355" w:type="dxa"/>
            <w:shd w:val="clear" w:color="auto" w:fill="auto"/>
            <w:vAlign w:val="center"/>
          </w:tcPr>
          <w:p w14:paraId="156866BF">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指公立医疗机构提供的服务事项，指在没有家属和护工参与的情况下，完全由护士、护理员承担患者全部生活护理。</w:t>
            </w:r>
          </w:p>
        </w:tc>
        <w:tc>
          <w:tcPr>
            <w:tcW w:w="3495" w:type="dxa"/>
            <w:shd w:val="clear" w:color="auto" w:fill="auto"/>
            <w:vAlign w:val="center"/>
          </w:tcPr>
          <w:p w14:paraId="517F9203">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所定价格涵盖生活照顾等所需的人力资源和基本物质资源消耗。</w:t>
            </w:r>
          </w:p>
        </w:tc>
        <w:tc>
          <w:tcPr>
            <w:tcW w:w="675" w:type="dxa"/>
            <w:shd w:val="clear" w:color="auto" w:fill="auto"/>
            <w:vAlign w:val="center"/>
          </w:tcPr>
          <w:p w14:paraId="060AA5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日</w:t>
            </w:r>
          </w:p>
        </w:tc>
        <w:tc>
          <w:tcPr>
            <w:tcW w:w="1890" w:type="dxa"/>
            <w:shd w:val="clear" w:color="auto" w:fill="auto"/>
            <w:vAlign w:val="center"/>
          </w:tcPr>
          <w:p w14:paraId="584A5AA5">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1.指在特级护理、I级护理服务的基础上同时开展免陪照护服务的，可在特级护理、I级护理收费的同时，加收该项目收费；</w:t>
            </w:r>
            <w:r>
              <w:rPr>
                <w:rFonts w:hint="eastAsia" w:ascii="仿宋_GB2312" w:hAnsi="仿宋_GB2312" w:eastAsia="仿宋_GB2312" w:cs="仿宋_GB2312"/>
                <w:i w:val="0"/>
                <w:iCs w:val="0"/>
                <w:color w:val="000000"/>
                <w:kern w:val="0"/>
                <w:sz w:val="20"/>
                <w:szCs w:val="20"/>
                <w:u w:val="none"/>
                <w:lang w:val="en-US" w:eastAsia="zh-CN" w:bidi="ar"/>
              </w:rPr>
              <w:br w:type="textWrapping"/>
            </w:r>
            <w:r>
              <w:rPr>
                <w:rFonts w:hint="eastAsia" w:ascii="仿宋_GB2312" w:hAnsi="仿宋_GB2312" w:eastAsia="仿宋_GB2312" w:cs="仿宋_GB2312"/>
                <w:i w:val="0"/>
                <w:iCs w:val="0"/>
                <w:color w:val="000000"/>
                <w:kern w:val="0"/>
                <w:sz w:val="20"/>
                <w:szCs w:val="20"/>
                <w:u w:val="none"/>
                <w:lang w:val="en-US" w:eastAsia="zh-CN" w:bidi="ar"/>
              </w:rPr>
              <w:t>2.免陪照护患者家庭根据自身需要自行雇佣护理员，通过市场化解决，不属于医疗服务价格项目管理范畴。</w:t>
            </w:r>
          </w:p>
        </w:tc>
        <w:tc>
          <w:tcPr>
            <w:tcW w:w="750" w:type="dxa"/>
            <w:shd w:val="clear" w:color="auto" w:fill="auto"/>
            <w:vAlign w:val="center"/>
          </w:tcPr>
          <w:p w14:paraId="01B6DD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150</w:t>
            </w:r>
          </w:p>
        </w:tc>
        <w:tc>
          <w:tcPr>
            <w:tcW w:w="780" w:type="dxa"/>
            <w:shd w:val="clear" w:color="auto" w:fill="auto"/>
            <w:vAlign w:val="center"/>
          </w:tcPr>
          <w:p w14:paraId="4239AE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135</w:t>
            </w:r>
          </w:p>
        </w:tc>
        <w:tc>
          <w:tcPr>
            <w:tcW w:w="795" w:type="dxa"/>
            <w:shd w:val="clear" w:color="auto" w:fill="auto"/>
            <w:vAlign w:val="center"/>
          </w:tcPr>
          <w:p w14:paraId="2A05F3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120</w:t>
            </w:r>
          </w:p>
        </w:tc>
        <w:tc>
          <w:tcPr>
            <w:tcW w:w="672" w:type="dxa"/>
            <w:shd w:val="clear" w:color="auto" w:fill="auto"/>
            <w:vAlign w:val="center"/>
          </w:tcPr>
          <w:p w14:paraId="2ED1C3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自费</w:t>
            </w:r>
          </w:p>
        </w:tc>
      </w:tr>
    </w:tbl>
    <w:p w14:paraId="49CF3DB2">
      <w:pPr>
        <w:widowControl/>
        <w:jc w:val="left"/>
        <w:rPr>
          <w:rFonts w:hint="eastAsia" w:ascii="黑体" w:hAnsi="黑体" w:eastAsia="黑体" w:cs="仿宋_GB2312"/>
          <w:color w:val="auto"/>
          <w:sz w:val="32"/>
          <w:szCs w:val="32"/>
          <w:lang w:eastAsia="zh-CN"/>
        </w:rPr>
      </w:pPr>
    </w:p>
    <w:p w14:paraId="385A8C76">
      <w:pPr>
        <w:widowControl/>
        <w:jc w:val="left"/>
        <w:rPr>
          <w:rFonts w:hint="eastAsia" w:ascii="黑体" w:hAnsi="黑体" w:eastAsia="黑体" w:cs="仿宋_GB2312"/>
          <w:color w:val="auto"/>
          <w:sz w:val="32"/>
          <w:szCs w:val="32"/>
          <w:lang w:eastAsia="zh-CN"/>
        </w:rPr>
      </w:pPr>
    </w:p>
    <w:p w14:paraId="5844C35A">
      <w:pPr>
        <w:widowControl/>
        <w:jc w:val="left"/>
        <w:rPr>
          <w:rFonts w:hint="default" w:ascii="黑体" w:hAnsi="黑体" w:eastAsia="黑体" w:cs="仿宋_GB2312"/>
          <w:color w:val="auto"/>
          <w:sz w:val="32"/>
          <w:szCs w:val="32"/>
          <w:lang w:val="en-US" w:eastAsia="zh-CN"/>
        </w:rPr>
      </w:pPr>
      <w:r>
        <w:rPr>
          <w:rFonts w:hint="eastAsia" w:ascii="黑体" w:hAnsi="黑体" w:eastAsia="黑体" w:cs="仿宋_GB2312"/>
          <w:color w:val="auto"/>
          <w:sz w:val="32"/>
          <w:szCs w:val="32"/>
          <w:lang w:eastAsia="zh-CN"/>
        </w:rPr>
        <w:t>附件</w:t>
      </w:r>
      <w:r>
        <w:rPr>
          <w:rFonts w:hint="default" w:ascii="黑体" w:hAnsi="黑体" w:eastAsia="黑体" w:cs="仿宋_GB2312"/>
          <w:color w:val="auto"/>
          <w:sz w:val="32"/>
          <w:szCs w:val="32"/>
          <w:lang w:val="en-US"/>
        </w:rPr>
        <w:t>2</w:t>
      </w:r>
    </w:p>
    <w:p w14:paraId="4AFAC5AB">
      <w:pPr>
        <w:keepNext w:val="0"/>
        <w:keepLines w:val="0"/>
        <w:pageBreakBefore w:val="0"/>
        <w:widowControl/>
        <w:kinsoku/>
        <w:wordWrap/>
        <w:overflowPunct/>
        <w:topLinePunct w:val="0"/>
        <w:autoSpaceDE/>
        <w:autoSpaceDN/>
        <w:bidi w:val="0"/>
        <w:adjustRightInd/>
        <w:snapToGrid/>
        <w:spacing w:before="156" w:beforeLines="50" w:after="158" w:afterLines="50"/>
        <w:jc w:val="center"/>
        <w:textAlignment w:val="auto"/>
        <w:rPr>
          <w:rFonts w:ascii="方正小标宋简体" w:hAnsi="黑体" w:eastAsia="方正小标宋简体" w:cs="仿宋_GB2312"/>
          <w:color w:val="auto"/>
          <w:sz w:val="44"/>
          <w:szCs w:val="44"/>
        </w:rPr>
      </w:pPr>
      <w:r>
        <w:rPr>
          <w:rFonts w:hint="eastAsia" w:ascii="方正小标宋简体" w:hAnsi="黑体" w:eastAsia="方正小标宋简体" w:cs="仿宋_GB2312"/>
          <w:color w:val="auto"/>
          <w:sz w:val="44"/>
          <w:szCs w:val="44"/>
        </w:rPr>
        <w:t>废止现行1</w:t>
      </w:r>
      <w:r>
        <w:rPr>
          <w:rFonts w:hint="eastAsia" w:ascii="方正小标宋简体" w:hAnsi="黑体" w:eastAsia="方正小标宋简体" w:cs="仿宋_GB2312"/>
          <w:color w:val="auto"/>
          <w:sz w:val="44"/>
          <w:szCs w:val="44"/>
          <w:lang w:val="en-US" w:eastAsia="zh-CN"/>
        </w:rPr>
        <w:t>4</w:t>
      </w:r>
      <w:r>
        <w:rPr>
          <w:rFonts w:hint="eastAsia" w:ascii="方正小标宋简体" w:hAnsi="黑体" w:eastAsia="方正小标宋简体" w:cs="仿宋_GB2312"/>
          <w:color w:val="auto"/>
          <w:sz w:val="44"/>
          <w:szCs w:val="44"/>
        </w:rPr>
        <w:t>个</w:t>
      </w:r>
      <w:r>
        <w:rPr>
          <w:rFonts w:hint="eastAsia" w:ascii="方正小标宋简体" w:hAnsi="黑体" w:eastAsia="方正小标宋简体" w:cs="仿宋_GB2312"/>
          <w:color w:val="auto"/>
          <w:sz w:val="44"/>
          <w:szCs w:val="44"/>
          <w:lang w:val="en-US" w:eastAsia="zh-CN"/>
        </w:rPr>
        <w:t>护理类医疗服务价格项目表</w:t>
      </w:r>
    </w:p>
    <w:tbl>
      <w:tblPr>
        <w:tblStyle w:val="10"/>
        <w:tblW w:w="485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5"/>
        <w:gridCol w:w="1314"/>
        <w:gridCol w:w="1994"/>
        <w:gridCol w:w="4981"/>
        <w:gridCol w:w="1440"/>
        <w:gridCol w:w="1144"/>
        <w:gridCol w:w="2800"/>
      </w:tblGrid>
      <w:tr w14:paraId="77664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blHeader/>
          <w:jc w:val="center"/>
        </w:trPr>
        <w:tc>
          <w:tcPr>
            <w:tcW w:w="238" w:type="pct"/>
            <w:noWrap w:val="0"/>
            <w:vAlign w:val="center"/>
          </w:tcPr>
          <w:p w14:paraId="07908B6F">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黑体" w:eastAsia="黑体" w:cs="黑体"/>
                <w:b w:val="0"/>
                <w:bCs/>
                <w:i w:val="0"/>
                <w:color w:val="auto"/>
                <w:sz w:val="21"/>
                <w:szCs w:val="21"/>
                <w:u w:val="none"/>
              </w:rPr>
            </w:pPr>
            <w:r>
              <w:rPr>
                <w:rFonts w:hint="eastAsia" w:ascii="黑体" w:hAnsi="黑体" w:eastAsia="黑体" w:cs="黑体"/>
                <w:b w:val="0"/>
                <w:bCs/>
                <w:i w:val="0"/>
                <w:color w:val="auto"/>
                <w:kern w:val="0"/>
                <w:sz w:val="21"/>
                <w:szCs w:val="21"/>
                <w:u w:val="none"/>
                <w:lang w:val="en-US" w:eastAsia="zh-CN" w:bidi="ar"/>
              </w:rPr>
              <w:t>序号</w:t>
            </w:r>
          </w:p>
        </w:tc>
        <w:tc>
          <w:tcPr>
            <w:tcW w:w="457" w:type="pct"/>
            <w:noWrap w:val="0"/>
            <w:vAlign w:val="center"/>
          </w:tcPr>
          <w:p w14:paraId="72776126">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黑体" w:eastAsia="黑体" w:cs="黑体"/>
                <w:b w:val="0"/>
                <w:bCs/>
                <w:i w:val="0"/>
                <w:color w:val="auto"/>
                <w:sz w:val="21"/>
                <w:szCs w:val="21"/>
                <w:u w:val="none"/>
              </w:rPr>
            </w:pPr>
            <w:r>
              <w:rPr>
                <w:rFonts w:hint="eastAsia" w:ascii="黑体" w:hAnsi="黑体" w:eastAsia="黑体" w:cs="黑体"/>
                <w:b w:val="0"/>
                <w:bCs/>
                <w:i w:val="0"/>
                <w:color w:val="auto"/>
                <w:kern w:val="0"/>
                <w:sz w:val="21"/>
                <w:szCs w:val="21"/>
                <w:u w:val="none"/>
                <w:lang w:val="en-US" w:eastAsia="zh-CN" w:bidi="ar"/>
              </w:rPr>
              <w:t>项目编码</w:t>
            </w:r>
          </w:p>
        </w:tc>
        <w:tc>
          <w:tcPr>
            <w:tcW w:w="694" w:type="pct"/>
            <w:noWrap w:val="0"/>
            <w:vAlign w:val="center"/>
          </w:tcPr>
          <w:p w14:paraId="12E20596">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黑体" w:eastAsia="黑体" w:cs="黑体"/>
                <w:b w:val="0"/>
                <w:bCs/>
                <w:i w:val="0"/>
                <w:color w:val="auto"/>
                <w:sz w:val="21"/>
                <w:szCs w:val="21"/>
                <w:u w:val="none"/>
              </w:rPr>
            </w:pPr>
            <w:r>
              <w:rPr>
                <w:rFonts w:hint="eastAsia" w:ascii="黑体" w:hAnsi="黑体" w:eastAsia="黑体" w:cs="黑体"/>
                <w:b w:val="0"/>
                <w:bCs/>
                <w:i w:val="0"/>
                <w:color w:val="auto"/>
                <w:kern w:val="0"/>
                <w:sz w:val="21"/>
                <w:szCs w:val="21"/>
                <w:u w:val="none"/>
                <w:lang w:val="en-US" w:eastAsia="zh-CN" w:bidi="ar"/>
              </w:rPr>
              <w:t>项目名称</w:t>
            </w:r>
          </w:p>
        </w:tc>
        <w:tc>
          <w:tcPr>
            <w:tcW w:w="1734" w:type="pct"/>
            <w:noWrap w:val="0"/>
            <w:vAlign w:val="center"/>
          </w:tcPr>
          <w:p w14:paraId="43040F48">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黑体" w:eastAsia="黑体" w:cs="黑体"/>
                <w:b w:val="0"/>
                <w:bCs/>
                <w:i w:val="0"/>
                <w:color w:val="auto"/>
                <w:sz w:val="21"/>
                <w:szCs w:val="21"/>
                <w:u w:val="none"/>
              </w:rPr>
            </w:pPr>
            <w:r>
              <w:rPr>
                <w:rFonts w:hint="eastAsia" w:ascii="黑体" w:hAnsi="黑体" w:eastAsia="黑体" w:cs="黑体"/>
                <w:b w:val="0"/>
                <w:bCs/>
                <w:i w:val="0"/>
                <w:color w:val="auto"/>
                <w:kern w:val="0"/>
                <w:sz w:val="21"/>
                <w:szCs w:val="21"/>
                <w:u w:val="none"/>
                <w:lang w:val="en-US" w:eastAsia="zh-CN" w:bidi="ar"/>
              </w:rPr>
              <w:t>项目内涵</w:t>
            </w:r>
          </w:p>
        </w:tc>
        <w:tc>
          <w:tcPr>
            <w:tcW w:w="501" w:type="pct"/>
            <w:noWrap w:val="0"/>
            <w:vAlign w:val="center"/>
          </w:tcPr>
          <w:p w14:paraId="0BF37499">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黑体" w:eastAsia="黑体" w:cs="黑体"/>
                <w:b w:val="0"/>
                <w:bCs/>
                <w:i w:val="0"/>
                <w:color w:val="auto"/>
                <w:sz w:val="21"/>
                <w:szCs w:val="21"/>
                <w:u w:val="none"/>
              </w:rPr>
            </w:pPr>
            <w:r>
              <w:rPr>
                <w:rFonts w:hint="eastAsia" w:ascii="黑体" w:hAnsi="黑体" w:eastAsia="黑体" w:cs="黑体"/>
                <w:b w:val="0"/>
                <w:bCs/>
                <w:i w:val="0"/>
                <w:color w:val="auto"/>
                <w:kern w:val="0"/>
                <w:sz w:val="21"/>
                <w:szCs w:val="21"/>
                <w:u w:val="none"/>
                <w:lang w:val="en-US" w:eastAsia="zh-CN" w:bidi="ar"/>
              </w:rPr>
              <w:t>除外内容</w:t>
            </w:r>
          </w:p>
        </w:tc>
        <w:tc>
          <w:tcPr>
            <w:tcW w:w="398" w:type="pct"/>
            <w:noWrap w:val="0"/>
            <w:vAlign w:val="center"/>
          </w:tcPr>
          <w:p w14:paraId="74702FD2">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黑体" w:eastAsia="黑体" w:cs="黑体"/>
                <w:b w:val="0"/>
                <w:bCs/>
                <w:i w:val="0"/>
                <w:color w:val="auto"/>
                <w:sz w:val="21"/>
                <w:szCs w:val="21"/>
                <w:u w:val="none"/>
              </w:rPr>
            </w:pPr>
            <w:r>
              <w:rPr>
                <w:rFonts w:hint="eastAsia" w:ascii="黑体" w:hAnsi="黑体" w:eastAsia="黑体" w:cs="黑体"/>
                <w:b w:val="0"/>
                <w:bCs/>
                <w:i w:val="0"/>
                <w:color w:val="auto"/>
                <w:kern w:val="0"/>
                <w:sz w:val="21"/>
                <w:szCs w:val="21"/>
                <w:u w:val="none"/>
                <w:lang w:val="en-US" w:eastAsia="zh-CN" w:bidi="ar"/>
              </w:rPr>
              <w:t>计价单位</w:t>
            </w:r>
          </w:p>
        </w:tc>
        <w:tc>
          <w:tcPr>
            <w:tcW w:w="975" w:type="pct"/>
            <w:noWrap w:val="0"/>
            <w:vAlign w:val="center"/>
          </w:tcPr>
          <w:p w14:paraId="73BDF63B">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黑体" w:eastAsia="黑体" w:cs="黑体"/>
                <w:b w:val="0"/>
                <w:bCs/>
                <w:i w:val="0"/>
                <w:color w:val="auto"/>
                <w:sz w:val="21"/>
                <w:szCs w:val="21"/>
                <w:u w:val="none"/>
              </w:rPr>
            </w:pPr>
            <w:r>
              <w:rPr>
                <w:rFonts w:hint="eastAsia" w:ascii="黑体" w:hAnsi="黑体" w:eastAsia="黑体" w:cs="黑体"/>
                <w:b w:val="0"/>
                <w:bCs/>
                <w:i w:val="0"/>
                <w:color w:val="auto"/>
                <w:kern w:val="0"/>
                <w:sz w:val="21"/>
                <w:szCs w:val="21"/>
                <w:u w:val="none"/>
                <w:lang w:val="en-US" w:eastAsia="zh-CN" w:bidi="ar"/>
              </w:rPr>
              <w:t>计价说明</w:t>
            </w:r>
          </w:p>
        </w:tc>
      </w:tr>
      <w:tr w14:paraId="3E61A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9" w:hRule="atLeast"/>
          <w:jc w:val="center"/>
        </w:trPr>
        <w:tc>
          <w:tcPr>
            <w:tcW w:w="238" w:type="pct"/>
            <w:noWrap w:val="0"/>
            <w:vAlign w:val="center"/>
          </w:tcPr>
          <w:p w14:paraId="778F096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1</w:t>
            </w:r>
          </w:p>
        </w:tc>
        <w:tc>
          <w:tcPr>
            <w:tcW w:w="457" w:type="pct"/>
            <w:noWrap w:val="0"/>
            <w:vAlign w:val="center"/>
          </w:tcPr>
          <w:p w14:paraId="789C489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1201</w:t>
            </w:r>
          </w:p>
        </w:tc>
        <w:tc>
          <w:tcPr>
            <w:tcW w:w="694" w:type="pct"/>
            <w:noWrap w:val="0"/>
            <w:vAlign w:val="center"/>
          </w:tcPr>
          <w:p w14:paraId="02F5BA1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1.护</w:t>
            </w:r>
            <w:bookmarkStart w:id="0" w:name="_GoBack"/>
            <w:bookmarkEnd w:id="0"/>
            <w:r>
              <w:rPr>
                <w:rFonts w:hint="eastAsia" w:ascii="仿宋_GB2312" w:hAnsi="仿宋_GB2312" w:eastAsia="仿宋_GB2312" w:cs="仿宋_GB2312"/>
                <w:i w:val="0"/>
                <w:color w:val="auto"/>
                <w:kern w:val="0"/>
                <w:sz w:val="21"/>
                <w:szCs w:val="21"/>
                <w:u w:val="none"/>
                <w:lang w:val="en-US" w:eastAsia="zh-CN" w:bidi="ar"/>
              </w:rPr>
              <w:t>理费</w:t>
            </w:r>
          </w:p>
        </w:tc>
        <w:tc>
          <w:tcPr>
            <w:tcW w:w="1734" w:type="pct"/>
            <w:noWrap w:val="0"/>
            <w:vAlign w:val="center"/>
          </w:tcPr>
          <w:p w14:paraId="3040FC43">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含压疮护理、放疗后皮肤护理</w:t>
            </w:r>
          </w:p>
        </w:tc>
        <w:tc>
          <w:tcPr>
            <w:tcW w:w="501" w:type="pct"/>
            <w:noWrap w:val="0"/>
            <w:vAlign w:val="center"/>
          </w:tcPr>
          <w:p w14:paraId="646C2A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药物、特殊消耗材料及特殊仪器</w:t>
            </w:r>
          </w:p>
        </w:tc>
        <w:tc>
          <w:tcPr>
            <w:tcW w:w="398" w:type="pct"/>
            <w:noWrap w:val="0"/>
            <w:vAlign w:val="center"/>
          </w:tcPr>
          <w:p w14:paraId="6A5A2889">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auto"/>
                <w:sz w:val="21"/>
                <w:szCs w:val="21"/>
                <w:u w:val="none"/>
              </w:rPr>
            </w:pPr>
          </w:p>
        </w:tc>
        <w:tc>
          <w:tcPr>
            <w:tcW w:w="975" w:type="pct"/>
            <w:noWrap w:val="0"/>
            <w:vAlign w:val="center"/>
          </w:tcPr>
          <w:p w14:paraId="541F6166">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1.一二三级护理、重症监护、特级护理、特殊疾病护理、精神病护理、狂躁性精神病护理、新生儿护理、早产儿护理、病儿护理不能重复计价；</w:t>
            </w:r>
            <w:r>
              <w:rPr>
                <w:rFonts w:hint="eastAsia" w:ascii="仿宋_GB2312" w:hAnsi="仿宋_GB2312" w:eastAsia="仿宋_GB2312" w:cs="仿宋_GB2312"/>
                <w:i w:val="0"/>
                <w:color w:val="auto"/>
                <w:kern w:val="0"/>
                <w:sz w:val="21"/>
                <w:szCs w:val="21"/>
                <w:u w:val="none"/>
                <w:lang w:val="en-US" w:eastAsia="zh-CN" w:bidi="ar"/>
              </w:rPr>
              <w:br w:type="textWrapping"/>
            </w:r>
            <w:r>
              <w:rPr>
                <w:rFonts w:hint="eastAsia" w:ascii="仿宋_GB2312" w:hAnsi="仿宋_GB2312" w:eastAsia="仿宋_GB2312" w:cs="仿宋_GB2312"/>
                <w:i w:val="0"/>
                <w:color w:val="auto"/>
                <w:kern w:val="0"/>
                <w:sz w:val="21"/>
                <w:szCs w:val="21"/>
                <w:u w:val="none"/>
                <w:lang w:val="en-US" w:eastAsia="zh-CN" w:bidi="ar"/>
              </w:rPr>
              <w:t>2.干部病房护士与床位比不低于0.6：1，入住的保健对象加收50%（干部病房、保健对象由省保健委认定）。</w:t>
            </w:r>
          </w:p>
        </w:tc>
      </w:tr>
      <w:tr w14:paraId="1DB30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3" w:hRule="atLeast"/>
          <w:jc w:val="center"/>
        </w:trPr>
        <w:tc>
          <w:tcPr>
            <w:tcW w:w="238" w:type="pct"/>
            <w:noWrap w:val="0"/>
            <w:vAlign w:val="center"/>
          </w:tcPr>
          <w:p w14:paraId="1037D9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2</w:t>
            </w:r>
          </w:p>
        </w:tc>
        <w:tc>
          <w:tcPr>
            <w:tcW w:w="457" w:type="pct"/>
            <w:noWrap w:val="0"/>
            <w:vAlign w:val="center"/>
          </w:tcPr>
          <w:p w14:paraId="272520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120100001</w:t>
            </w:r>
          </w:p>
        </w:tc>
        <w:tc>
          <w:tcPr>
            <w:tcW w:w="694" w:type="pct"/>
            <w:noWrap w:val="0"/>
            <w:vAlign w:val="center"/>
          </w:tcPr>
          <w:p w14:paraId="4AACBF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重症监护</w:t>
            </w:r>
          </w:p>
        </w:tc>
        <w:tc>
          <w:tcPr>
            <w:tcW w:w="1734" w:type="pct"/>
            <w:noWrap w:val="0"/>
            <w:vAlign w:val="center"/>
          </w:tcPr>
          <w:p w14:paraId="1E76E719">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指重症监护室内连续监测。医生护士严密观察病情变化，密切观察血氧饱和度、呼吸、血压、脉压差、心率、心律及神志、体温、出入量等变化，发现问题及时调整治疗方案，预防并发症的发生，并作好监测，治疗及病情记录，随时配合抢救</w:t>
            </w:r>
          </w:p>
        </w:tc>
        <w:tc>
          <w:tcPr>
            <w:tcW w:w="501" w:type="pct"/>
            <w:noWrap w:val="0"/>
            <w:vAlign w:val="center"/>
          </w:tcPr>
          <w:p w14:paraId="6BEA0F88">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auto"/>
                <w:sz w:val="21"/>
                <w:szCs w:val="21"/>
                <w:u w:val="none"/>
              </w:rPr>
            </w:pPr>
          </w:p>
        </w:tc>
        <w:tc>
          <w:tcPr>
            <w:tcW w:w="398" w:type="pct"/>
            <w:noWrap w:val="0"/>
            <w:vAlign w:val="center"/>
          </w:tcPr>
          <w:p w14:paraId="5282F8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小时</w:t>
            </w:r>
          </w:p>
        </w:tc>
        <w:tc>
          <w:tcPr>
            <w:tcW w:w="975" w:type="pct"/>
            <w:noWrap w:val="0"/>
            <w:vAlign w:val="center"/>
          </w:tcPr>
          <w:p w14:paraId="5BC81050">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1.收取重症监护不得再收取分级护理费用；</w:t>
            </w:r>
            <w:r>
              <w:rPr>
                <w:rFonts w:hint="eastAsia" w:ascii="仿宋_GB2312" w:hAnsi="仿宋_GB2312" w:eastAsia="仿宋_GB2312" w:cs="仿宋_GB2312"/>
                <w:i w:val="0"/>
                <w:color w:val="auto"/>
                <w:kern w:val="0"/>
                <w:sz w:val="21"/>
                <w:szCs w:val="21"/>
                <w:u w:val="none"/>
                <w:lang w:val="en-US" w:eastAsia="zh-CN" w:bidi="ar"/>
              </w:rPr>
              <w:br w:type="textWrapping"/>
            </w:r>
            <w:r>
              <w:rPr>
                <w:rFonts w:hint="eastAsia" w:ascii="仿宋_GB2312" w:hAnsi="仿宋_GB2312" w:eastAsia="仿宋_GB2312" w:cs="仿宋_GB2312"/>
                <w:i w:val="0"/>
                <w:color w:val="auto"/>
                <w:kern w:val="0"/>
                <w:sz w:val="21"/>
                <w:szCs w:val="21"/>
                <w:u w:val="none"/>
                <w:lang w:val="en-US" w:eastAsia="zh-CN" w:bidi="ar"/>
              </w:rPr>
              <w:t>2.6岁及以下儿童加收30%；</w:t>
            </w:r>
            <w:r>
              <w:rPr>
                <w:rFonts w:hint="eastAsia" w:ascii="仿宋_GB2312" w:hAnsi="仿宋_GB2312" w:eastAsia="仿宋_GB2312" w:cs="仿宋_GB2312"/>
                <w:i w:val="0"/>
                <w:color w:val="auto"/>
                <w:kern w:val="0"/>
                <w:sz w:val="21"/>
                <w:szCs w:val="21"/>
                <w:u w:val="none"/>
                <w:lang w:val="en-US" w:eastAsia="zh-CN" w:bidi="ar"/>
              </w:rPr>
              <w:br w:type="textWrapping"/>
            </w:r>
            <w:r>
              <w:rPr>
                <w:rFonts w:hint="eastAsia" w:ascii="仿宋_GB2312" w:hAnsi="仿宋_GB2312" w:eastAsia="仿宋_GB2312" w:cs="仿宋_GB2312"/>
                <w:i w:val="0"/>
                <w:color w:val="auto"/>
                <w:kern w:val="0"/>
                <w:sz w:val="21"/>
                <w:szCs w:val="21"/>
                <w:u w:val="none"/>
                <w:lang w:val="en-US" w:eastAsia="zh-CN" w:bidi="ar"/>
              </w:rPr>
              <w:t>3.高压氧舱重症监护同此项计价。</w:t>
            </w:r>
          </w:p>
        </w:tc>
      </w:tr>
      <w:tr w14:paraId="27C67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8" w:hRule="atLeast"/>
          <w:jc w:val="center"/>
        </w:trPr>
        <w:tc>
          <w:tcPr>
            <w:tcW w:w="238" w:type="pct"/>
            <w:noWrap w:val="0"/>
            <w:vAlign w:val="center"/>
          </w:tcPr>
          <w:p w14:paraId="03AA2EA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3</w:t>
            </w:r>
          </w:p>
        </w:tc>
        <w:tc>
          <w:tcPr>
            <w:tcW w:w="457" w:type="pct"/>
            <w:noWrap w:val="0"/>
            <w:vAlign w:val="center"/>
          </w:tcPr>
          <w:p w14:paraId="09DBB7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120100002</w:t>
            </w:r>
          </w:p>
        </w:tc>
        <w:tc>
          <w:tcPr>
            <w:tcW w:w="694" w:type="pct"/>
            <w:noWrap w:val="0"/>
            <w:vAlign w:val="center"/>
          </w:tcPr>
          <w:p w14:paraId="32E51C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特级护理</w:t>
            </w:r>
          </w:p>
        </w:tc>
        <w:tc>
          <w:tcPr>
            <w:tcW w:w="1734" w:type="pct"/>
            <w:noWrap w:val="0"/>
            <w:vAlign w:val="center"/>
          </w:tcPr>
          <w:p w14:paraId="1382AC20">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指病情危重、重症监护、复杂或大手术后，严重外伤和大面积烧伤，使用呼吸机辅助呼吸，实施连续性肾脏替代治疗，及其它生命体征不稳定患者的护理。严密观察患者病情变化和生命体征的改变，监测患者的体温、脉搏、呼吸、血压，根据医嘱正确实施治疗，用药，准确测量24小时出入量，正确实施口腔护理，压疮预防和护理，管路护理等措施，实施安全措施，保持患者的舒适和功能体位，实施床旁交接班，完成健康教育及心理护理，书写特护记录</w:t>
            </w:r>
          </w:p>
        </w:tc>
        <w:tc>
          <w:tcPr>
            <w:tcW w:w="501" w:type="pct"/>
            <w:noWrap w:val="0"/>
            <w:vAlign w:val="center"/>
          </w:tcPr>
          <w:p w14:paraId="1BAFC307">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auto"/>
                <w:sz w:val="21"/>
                <w:szCs w:val="21"/>
                <w:u w:val="none"/>
              </w:rPr>
            </w:pPr>
          </w:p>
        </w:tc>
        <w:tc>
          <w:tcPr>
            <w:tcW w:w="398" w:type="pct"/>
            <w:noWrap w:val="0"/>
            <w:vAlign w:val="center"/>
          </w:tcPr>
          <w:p w14:paraId="3916F8A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小时</w:t>
            </w:r>
          </w:p>
        </w:tc>
        <w:tc>
          <w:tcPr>
            <w:tcW w:w="975" w:type="pct"/>
            <w:noWrap w:val="0"/>
            <w:vAlign w:val="center"/>
          </w:tcPr>
          <w:p w14:paraId="62F83C1C">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1.实行一对一的服务；</w:t>
            </w:r>
            <w:r>
              <w:rPr>
                <w:rFonts w:hint="eastAsia" w:ascii="仿宋_GB2312" w:hAnsi="仿宋_GB2312" w:eastAsia="仿宋_GB2312" w:cs="仿宋_GB2312"/>
                <w:i w:val="0"/>
                <w:color w:val="auto"/>
                <w:kern w:val="0"/>
                <w:sz w:val="21"/>
                <w:szCs w:val="21"/>
                <w:u w:val="none"/>
                <w:lang w:val="en-US" w:eastAsia="zh-CN" w:bidi="ar"/>
              </w:rPr>
              <w:br w:type="textWrapping"/>
            </w:r>
            <w:r>
              <w:rPr>
                <w:rFonts w:hint="eastAsia" w:ascii="仿宋_GB2312" w:hAnsi="仿宋_GB2312" w:eastAsia="仿宋_GB2312" w:cs="仿宋_GB2312"/>
                <w:i w:val="0"/>
                <w:color w:val="auto"/>
                <w:kern w:val="0"/>
                <w:sz w:val="21"/>
                <w:szCs w:val="21"/>
                <w:u w:val="none"/>
                <w:lang w:val="en-US" w:eastAsia="zh-CN" w:bidi="ar"/>
              </w:rPr>
              <w:t>2.收取特级护理不得再收取口腔护理、压疮预防和护理、管路护理等专项护理费用。</w:t>
            </w:r>
          </w:p>
        </w:tc>
      </w:tr>
      <w:tr w14:paraId="6D454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7" w:hRule="atLeast"/>
          <w:jc w:val="center"/>
        </w:trPr>
        <w:tc>
          <w:tcPr>
            <w:tcW w:w="238" w:type="pct"/>
            <w:noWrap w:val="0"/>
            <w:vAlign w:val="center"/>
          </w:tcPr>
          <w:p w14:paraId="486970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4</w:t>
            </w:r>
          </w:p>
        </w:tc>
        <w:tc>
          <w:tcPr>
            <w:tcW w:w="457" w:type="pct"/>
            <w:noWrap w:val="0"/>
            <w:vAlign w:val="center"/>
          </w:tcPr>
          <w:p w14:paraId="69FF9A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120100003</w:t>
            </w:r>
          </w:p>
        </w:tc>
        <w:tc>
          <w:tcPr>
            <w:tcW w:w="694" w:type="pct"/>
            <w:noWrap w:val="0"/>
            <w:vAlign w:val="center"/>
          </w:tcPr>
          <w:p w14:paraId="690D0EF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Ⅰ级护理</w:t>
            </w:r>
          </w:p>
        </w:tc>
        <w:tc>
          <w:tcPr>
            <w:tcW w:w="1734" w:type="pct"/>
            <w:noWrap w:val="0"/>
            <w:vAlign w:val="center"/>
          </w:tcPr>
          <w:p w14:paraId="26D8C655">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指病情趋向稳定的重症患者、手术后或者治疗期间需要严格卧床、生活完全不能自理或生活部分自理、病情随时可能发生变化的患者的护理。每小时巡视患者，观察患者病情变化，根据病情每日测量患者体温、脉搏、呼吸等生命体征，根据医嘱正确实施治疗，用药，正确实施口腔护理，压疮预防和护理，管路护理等护理措施，实施安全措施，对患者提供适宜的照顾和康复，健康指导</w:t>
            </w:r>
          </w:p>
        </w:tc>
        <w:tc>
          <w:tcPr>
            <w:tcW w:w="501" w:type="pct"/>
            <w:noWrap w:val="0"/>
            <w:vAlign w:val="center"/>
          </w:tcPr>
          <w:p w14:paraId="5AC7BE1D">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auto"/>
                <w:sz w:val="21"/>
                <w:szCs w:val="21"/>
                <w:u w:val="none"/>
              </w:rPr>
            </w:pPr>
          </w:p>
        </w:tc>
        <w:tc>
          <w:tcPr>
            <w:tcW w:w="398" w:type="pct"/>
            <w:noWrap w:val="0"/>
            <w:vAlign w:val="center"/>
          </w:tcPr>
          <w:p w14:paraId="36C251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日</w:t>
            </w:r>
          </w:p>
        </w:tc>
        <w:tc>
          <w:tcPr>
            <w:tcW w:w="975" w:type="pct"/>
            <w:noWrap w:val="0"/>
            <w:vAlign w:val="center"/>
          </w:tcPr>
          <w:p w14:paraId="3A0E22D1">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收取Ⅰ级护理不得再收取口腔护理、压疮预防和护理、管路护理等专项护理费用。</w:t>
            </w:r>
          </w:p>
        </w:tc>
      </w:tr>
      <w:tr w14:paraId="0B0D4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9" w:hRule="atLeast"/>
          <w:jc w:val="center"/>
        </w:trPr>
        <w:tc>
          <w:tcPr>
            <w:tcW w:w="238" w:type="pct"/>
            <w:noWrap w:val="0"/>
            <w:vAlign w:val="center"/>
          </w:tcPr>
          <w:p w14:paraId="62D5F8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5</w:t>
            </w:r>
          </w:p>
        </w:tc>
        <w:tc>
          <w:tcPr>
            <w:tcW w:w="457" w:type="pct"/>
            <w:noWrap w:val="0"/>
            <w:vAlign w:val="center"/>
          </w:tcPr>
          <w:p w14:paraId="46B4DF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120100004</w:t>
            </w:r>
          </w:p>
        </w:tc>
        <w:tc>
          <w:tcPr>
            <w:tcW w:w="694" w:type="pct"/>
            <w:noWrap w:val="0"/>
            <w:vAlign w:val="center"/>
          </w:tcPr>
          <w:p w14:paraId="00FA5B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Ⅱ级护理</w:t>
            </w:r>
          </w:p>
        </w:tc>
        <w:tc>
          <w:tcPr>
            <w:tcW w:w="1734" w:type="pct"/>
            <w:noWrap w:val="0"/>
            <w:vAlign w:val="center"/>
          </w:tcPr>
          <w:p w14:paraId="47DD5241">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指病情稳定、生活部分自理的患者或行动不便的老年患者的护理。每2-3小时巡视患者，观察患者病情变化，根据患者病情测量患者体温、脉搏、呼吸等生命体征，根据医嘱正确实施治疗，用药，根据患者身体状况，实施护理措施和安全措施，对患者提供适宜的照顾和康复，完成健康指导及心理护理。书写护理记录</w:t>
            </w:r>
          </w:p>
        </w:tc>
        <w:tc>
          <w:tcPr>
            <w:tcW w:w="501" w:type="pct"/>
            <w:noWrap w:val="0"/>
            <w:vAlign w:val="center"/>
          </w:tcPr>
          <w:p w14:paraId="4CF683E7">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auto"/>
                <w:sz w:val="21"/>
                <w:szCs w:val="21"/>
                <w:u w:val="none"/>
              </w:rPr>
            </w:pPr>
          </w:p>
        </w:tc>
        <w:tc>
          <w:tcPr>
            <w:tcW w:w="398" w:type="pct"/>
            <w:noWrap w:val="0"/>
            <w:vAlign w:val="center"/>
          </w:tcPr>
          <w:p w14:paraId="7A0A46F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日</w:t>
            </w:r>
          </w:p>
        </w:tc>
        <w:tc>
          <w:tcPr>
            <w:tcW w:w="975" w:type="pct"/>
            <w:noWrap w:val="0"/>
            <w:vAlign w:val="top"/>
          </w:tcPr>
          <w:p w14:paraId="60DC3353">
            <w:pPr>
              <w:keepNext w:val="0"/>
              <w:keepLines w:val="0"/>
              <w:pageBreakBefore w:val="0"/>
              <w:widowControl/>
              <w:kinsoku/>
              <w:wordWrap/>
              <w:overflowPunct/>
              <w:topLinePunct w:val="0"/>
              <w:autoSpaceDE/>
              <w:autoSpaceDN/>
              <w:bidi w:val="0"/>
              <w:adjustRightInd/>
              <w:snapToGrid/>
              <w:spacing w:line="240" w:lineRule="exact"/>
              <w:jc w:val="both"/>
              <w:rPr>
                <w:rFonts w:hint="eastAsia" w:ascii="仿宋_GB2312" w:hAnsi="仿宋_GB2312" w:eastAsia="仿宋_GB2312" w:cs="仿宋_GB2312"/>
                <w:i w:val="0"/>
                <w:color w:val="auto"/>
                <w:sz w:val="21"/>
                <w:szCs w:val="21"/>
                <w:u w:val="none"/>
              </w:rPr>
            </w:pPr>
          </w:p>
        </w:tc>
      </w:tr>
      <w:tr w14:paraId="0959B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9" w:hRule="atLeast"/>
          <w:jc w:val="center"/>
        </w:trPr>
        <w:tc>
          <w:tcPr>
            <w:tcW w:w="238" w:type="pct"/>
            <w:noWrap w:val="0"/>
            <w:vAlign w:val="center"/>
          </w:tcPr>
          <w:p w14:paraId="43EC61D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6</w:t>
            </w:r>
          </w:p>
        </w:tc>
        <w:tc>
          <w:tcPr>
            <w:tcW w:w="457" w:type="pct"/>
            <w:noWrap w:val="0"/>
            <w:vAlign w:val="center"/>
          </w:tcPr>
          <w:p w14:paraId="0841DB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120100005</w:t>
            </w:r>
          </w:p>
        </w:tc>
        <w:tc>
          <w:tcPr>
            <w:tcW w:w="694" w:type="pct"/>
            <w:noWrap w:val="0"/>
            <w:vAlign w:val="center"/>
          </w:tcPr>
          <w:p w14:paraId="080D44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Ⅲ级护理</w:t>
            </w:r>
          </w:p>
        </w:tc>
        <w:tc>
          <w:tcPr>
            <w:tcW w:w="1734" w:type="pct"/>
            <w:noWrap w:val="0"/>
            <w:vAlign w:val="center"/>
          </w:tcPr>
          <w:p w14:paraId="5006661F">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指生活完全自理、病情稳定的患者、处于康复期患者的护理。每3小时巡视患者，观察患者病情变化，根据患者病情测量患者生命体征，根据医嘱，正确实施治疗，用药，指导患者完成生理需求及康复。完成健康教育及心理护理，书写护理记录。含术前备皮</w:t>
            </w:r>
          </w:p>
        </w:tc>
        <w:tc>
          <w:tcPr>
            <w:tcW w:w="501" w:type="pct"/>
            <w:noWrap w:val="0"/>
            <w:vAlign w:val="center"/>
          </w:tcPr>
          <w:p w14:paraId="5B4C22FC">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auto"/>
                <w:sz w:val="21"/>
                <w:szCs w:val="21"/>
                <w:u w:val="none"/>
              </w:rPr>
            </w:pPr>
          </w:p>
        </w:tc>
        <w:tc>
          <w:tcPr>
            <w:tcW w:w="398" w:type="pct"/>
            <w:noWrap w:val="0"/>
            <w:vAlign w:val="center"/>
          </w:tcPr>
          <w:p w14:paraId="1B1584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日</w:t>
            </w:r>
          </w:p>
        </w:tc>
        <w:tc>
          <w:tcPr>
            <w:tcW w:w="975" w:type="pct"/>
            <w:noWrap w:val="0"/>
            <w:vAlign w:val="center"/>
          </w:tcPr>
          <w:p w14:paraId="592B64AE">
            <w:pPr>
              <w:keepNext w:val="0"/>
              <w:keepLines w:val="0"/>
              <w:pageBreakBefore w:val="0"/>
              <w:widowControl/>
              <w:kinsoku/>
              <w:wordWrap/>
              <w:overflowPunct/>
              <w:topLinePunct w:val="0"/>
              <w:autoSpaceDE/>
              <w:autoSpaceDN/>
              <w:bidi w:val="0"/>
              <w:adjustRightInd/>
              <w:snapToGrid/>
              <w:spacing w:line="240" w:lineRule="exact"/>
              <w:jc w:val="both"/>
              <w:rPr>
                <w:rFonts w:hint="eastAsia" w:ascii="仿宋_GB2312" w:hAnsi="仿宋_GB2312" w:eastAsia="仿宋_GB2312" w:cs="仿宋_GB2312"/>
                <w:i w:val="0"/>
                <w:color w:val="auto"/>
                <w:sz w:val="21"/>
                <w:szCs w:val="21"/>
                <w:u w:val="none"/>
              </w:rPr>
            </w:pPr>
          </w:p>
        </w:tc>
      </w:tr>
      <w:tr w14:paraId="53B7F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8" w:hRule="atLeast"/>
          <w:jc w:val="center"/>
        </w:trPr>
        <w:tc>
          <w:tcPr>
            <w:tcW w:w="238" w:type="pct"/>
            <w:noWrap w:val="0"/>
            <w:vAlign w:val="center"/>
          </w:tcPr>
          <w:p w14:paraId="193613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7</w:t>
            </w:r>
          </w:p>
        </w:tc>
        <w:tc>
          <w:tcPr>
            <w:tcW w:w="457" w:type="pct"/>
            <w:noWrap w:val="0"/>
            <w:vAlign w:val="center"/>
          </w:tcPr>
          <w:p w14:paraId="27DA78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120100006</w:t>
            </w:r>
          </w:p>
        </w:tc>
        <w:tc>
          <w:tcPr>
            <w:tcW w:w="694" w:type="pct"/>
            <w:noWrap w:val="0"/>
            <w:vAlign w:val="center"/>
          </w:tcPr>
          <w:p w14:paraId="78E376A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特殊疾病护理</w:t>
            </w:r>
          </w:p>
        </w:tc>
        <w:tc>
          <w:tcPr>
            <w:tcW w:w="1734" w:type="pct"/>
            <w:noWrap w:val="0"/>
            <w:vAlign w:val="center"/>
          </w:tcPr>
          <w:p w14:paraId="6E1927D0">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指甲类传染病、按甲类管理的乙类传染病、气性坏疽、破伤风、艾滋病、活动性肺结核、器官及骨髓移植术患者等特殊病的护理，含严格消毒隔离及一级护理内容</w:t>
            </w:r>
          </w:p>
        </w:tc>
        <w:tc>
          <w:tcPr>
            <w:tcW w:w="501" w:type="pct"/>
            <w:noWrap w:val="0"/>
            <w:vAlign w:val="center"/>
          </w:tcPr>
          <w:p w14:paraId="7AFB4BA8">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auto"/>
                <w:sz w:val="21"/>
                <w:szCs w:val="21"/>
                <w:u w:val="none"/>
              </w:rPr>
            </w:pPr>
          </w:p>
        </w:tc>
        <w:tc>
          <w:tcPr>
            <w:tcW w:w="398" w:type="pct"/>
            <w:noWrap w:val="0"/>
            <w:vAlign w:val="center"/>
          </w:tcPr>
          <w:p w14:paraId="78EC72D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日</w:t>
            </w:r>
          </w:p>
        </w:tc>
        <w:tc>
          <w:tcPr>
            <w:tcW w:w="975" w:type="pct"/>
            <w:noWrap w:val="0"/>
            <w:vAlign w:val="center"/>
          </w:tcPr>
          <w:p w14:paraId="0791F835">
            <w:pPr>
              <w:keepNext w:val="0"/>
              <w:keepLines w:val="0"/>
              <w:pageBreakBefore w:val="0"/>
              <w:widowControl/>
              <w:kinsoku/>
              <w:wordWrap/>
              <w:overflowPunct/>
              <w:topLinePunct w:val="0"/>
              <w:autoSpaceDE/>
              <w:autoSpaceDN/>
              <w:bidi w:val="0"/>
              <w:adjustRightInd/>
              <w:snapToGrid/>
              <w:spacing w:line="240" w:lineRule="exact"/>
              <w:jc w:val="both"/>
              <w:rPr>
                <w:rFonts w:hint="eastAsia" w:ascii="仿宋_GB2312" w:hAnsi="仿宋_GB2312" w:eastAsia="仿宋_GB2312" w:cs="仿宋_GB2312"/>
                <w:i w:val="0"/>
                <w:color w:val="auto"/>
                <w:sz w:val="21"/>
                <w:szCs w:val="21"/>
                <w:u w:val="none"/>
              </w:rPr>
            </w:pPr>
          </w:p>
        </w:tc>
      </w:tr>
      <w:tr w14:paraId="6F32A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jc w:val="center"/>
        </w:trPr>
        <w:tc>
          <w:tcPr>
            <w:tcW w:w="238" w:type="pct"/>
            <w:noWrap w:val="0"/>
            <w:vAlign w:val="center"/>
          </w:tcPr>
          <w:p w14:paraId="03AAD3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8</w:t>
            </w:r>
          </w:p>
        </w:tc>
        <w:tc>
          <w:tcPr>
            <w:tcW w:w="457" w:type="pct"/>
            <w:noWrap w:val="0"/>
            <w:vAlign w:val="center"/>
          </w:tcPr>
          <w:p w14:paraId="2A17316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120100007</w:t>
            </w:r>
          </w:p>
        </w:tc>
        <w:tc>
          <w:tcPr>
            <w:tcW w:w="694" w:type="pct"/>
            <w:noWrap w:val="0"/>
            <w:vAlign w:val="center"/>
          </w:tcPr>
          <w:p w14:paraId="0C38F9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新生儿护理</w:t>
            </w:r>
          </w:p>
        </w:tc>
        <w:tc>
          <w:tcPr>
            <w:tcW w:w="1734" w:type="pct"/>
            <w:noWrap w:val="0"/>
            <w:vAlign w:val="center"/>
          </w:tcPr>
          <w:p w14:paraId="1C2ADBB1">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含新生儿洗浴、脐部残端处理、口腔、皮肤及会阴护理</w:t>
            </w:r>
          </w:p>
        </w:tc>
        <w:tc>
          <w:tcPr>
            <w:tcW w:w="501" w:type="pct"/>
            <w:noWrap w:val="0"/>
            <w:vAlign w:val="center"/>
          </w:tcPr>
          <w:p w14:paraId="74C51433">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auto"/>
                <w:sz w:val="21"/>
                <w:szCs w:val="21"/>
                <w:u w:val="none"/>
              </w:rPr>
            </w:pPr>
          </w:p>
        </w:tc>
        <w:tc>
          <w:tcPr>
            <w:tcW w:w="398" w:type="pct"/>
            <w:noWrap w:val="0"/>
            <w:vAlign w:val="center"/>
          </w:tcPr>
          <w:p w14:paraId="65E891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日</w:t>
            </w:r>
          </w:p>
        </w:tc>
        <w:tc>
          <w:tcPr>
            <w:tcW w:w="975" w:type="pct"/>
            <w:noWrap w:val="0"/>
            <w:vAlign w:val="center"/>
          </w:tcPr>
          <w:p w14:paraId="70C942A5">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所需一次性尿片等生活用品、卫生材料不得另行计价。早产儿或病儿护理加收30%</w:t>
            </w:r>
          </w:p>
        </w:tc>
      </w:tr>
      <w:tr w14:paraId="405A1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238" w:type="pct"/>
            <w:noWrap w:val="0"/>
            <w:vAlign w:val="center"/>
          </w:tcPr>
          <w:p w14:paraId="1D7FE7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9</w:t>
            </w:r>
          </w:p>
        </w:tc>
        <w:tc>
          <w:tcPr>
            <w:tcW w:w="457" w:type="pct"/>
            <w:noWrap w:val="0"/>
            <w:vAlign w:val="center"/>
          </w:tcPr>
          <w:p w14:paraId="5FB3381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120100008</w:t>
            </w:r>
          </w:p>
        </w:tc>
        <w:tc>
          <w:tcPr>
            <w:tcW w:w="694" w:type="pct"/>
            <w:noWrap w:val="0"/>
            <w:vAlign w:val="center"/>
          </w:tcPr>
          <w:p w14:paraId="7A3330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新生儿特殊护理</w:t>
            </w:r>
          </w:p>
        </w:tc>
        <w:tc>
          <w:tcPr>
            <w:tcW w:w="1734" w:type="pct"/>
            <w:noWrap w:val="0"/>
            <w:vAlign w:val="center"/>
          </w:tcPr>
          <w:p w14:paraId="6EED0923">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包括新生儿干预、抚触、肛管排气、呼吸道清理、药</w:t>
            </w:r>
            <w:r>
              <w:rPr>
                <w:rFonts w:hint="eastAsia" w:ascii="仿宋_GB2312" w:hAnsi="仿宋_GB2312" w:eastAsia="仿宋_GB2312" w:cs="仿宋_GB2312"/>
                <w:i w:val="0"/>
                <w:color w:val="auto"/>
                <w:kern w:val="0"/>
                <w:sz w:val="21"/>
                <w:szCs w:val="21"/>
                <w:u w:val="none"/>
                <w:lang w:val="en-US" w:eastAsia="zh-CN" w:bidi="ar"/>
              </w:rPr>
              <w:br w:type="textWrapping"/>
            </w:r>
            <w:r>
              <w:rPr>
                <w:rFonts w:hint="eastAsia" w:ascii="仿宋_GB2312" w:hAnsi="仿宋_GB2312" w:eastAsia="仿宋_GB2312" w:cs="仿宋_GB2312"/>
                <w:i w:val="0"/>
                <w:color w:val="auto"/>
                <w:kern w:val="0"/>
                <w:sz w:val="21"/>
                <w:szCs w:val="21"/>
                <w:u w:val="none"/>
                <w:lang w:val="en-US" w:eastAsia="zh-CN" w:bidi="ar"/>
              </w:rPr>
              <w:t>浴、油浴等</w:t>
            </w:r>
          </w:p>
        </w:tc>
        <w:tc>
          <w:tcPr>
            <w:tcW w:w="501" w:type="pct"/>
            <w:noWrap w:val="0"/>
            <w:vAlign w:val="center"/>
          </w:tcPr>
          <w:p w14:paraId="1251E322">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auto"/>
                <w:sz w:val="21"/>
                <w:szCs w:val="21"/>
                <w:u w:val="none"/>
              </w:rPr>
            </w:pPr>
          </w:p>
        </w:tc>
        <w:tc>
          <w:tcPr>
            <w:tcW w:w="398" w:type="pct"/>
            <w:noWrap w:val="0"/>
            <w:vAlign w:val="center"/>
          </w:tcPr>
          <w:p w14:paraId="09A704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次/项</w:t>
            </w:r>
          </w:p>
        </w:tc>
        <w:tc>
          <w:tcPr>
            <w:tcW w:w="975" w:type="pct"/>
            <w:noWrap w:val="0"/>
            <w:vAlign w:val="center"/>
          </w:tcPr>
          <w:p w14:paraId="12360927">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自愿选择；新生儿护理费另收。</w:t>
            </w:r>
          </w:p>
        </w:tc>
      </w:tr>
      <w:tr w14:paraId="46DFB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38" w:type="pct"/>
            <w:noWrap w:val="0"/>
            <w:vAlign w:val="center"/>
          </w:tcPr>
          <w:p w14:paraId="19848DF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10</w:t>
            </w:r>
          </w:p>
        </w:tc>
        <w:tc>
          <w:tcPr>
            <w:tcW w:w="457" w:type="pct"/>
            <w:noWrap w:val="0"/>
            <w:vAlign w:val="center"/>
          </w:tcPr>
          <w:p w14:paraId="71A62BD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120100009</w:t>
            </w:r>
          </w:p>
        </w:tc>
        <w:tc>
          <w:tcPr>
            <w:tcW w:w="694" w:type="pct"/>
            <w:noWrap w:val="0"/>
            <w:vAlign w:val="center"/>
          </w:tcPr>
          <w:p w14:paraId="202E9F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精神病护理</w:t>
            </w:r>
          </w:p>
        </w:tc>
        <w:tc>
          <w:tcPr>
            <w:tcW w:w="1734" w:type="pct"/>
            <w:noWrap w:val="0"/>
            <w:vAlign w:val="center"/>
          </w:tcPr>
          <w:p w14:paraId="214B409C">
            <w:pPr>
              <w:keepNext w:val="0"/>
              <w:keepLines w:val="0"/>
              <w:pageBreakBefore w:val="0"/>
              <w:widowControl/>
              <w:kinsoku/>
              <w:wordWrap/>
              <w:overflowPunct/>
              <w:topLinePunct w:val="0"/>
              <w:autoSpaceDE/>
              <w:autoSpaceDN/>
              <w:bidi w:val="0"/>
              <w:adjustRightInd/>
              <w:snapToGrid/>
              <w:spacing w:line="240" w:lineRule="exact"/>
              <w:jc w:val="both"/>
              <w:rPr>
                <w:rFonts w:hint="eastAsia" w:ascii="仿宋_GB2312" w:hAnsi="仿宋_GB2312" w:eastAsia="仿宋_GB2312" w:cs="仿宋_GB2312"/>
                <w:i w:val="0"/>
                <w:color w:val="auto"/>
                <w:sz w:val="21"/>
                <w:szCs w:val="21"/>
                <w:u w:val="none"/>
              </w:rPr>
            </w:pPr>
          </w:p>
        </w:tc>
        <w:tc>
          <w:tcPr>
            <w:tcW w:w="501" w:type="pct"/>
            <w:noWrap w:val="0"/>
            <w:vAlign w:val="center"/>
          </w:tcPr>
          <w:p w14:paraId="58C867A0">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auto"/>
                <w:sz w:val="21"/>
                <w:szCs w:val="21"/>
                <w:u w:val="none"/>
              </w:rPr>
            </w:pPr>
          </w:p>
        </w:tc>
        <w:tc>
          <w:tcPr>
            <w:tcW w:w="398" w:type="pct"/>
            <w:noWrap w:val="0"/>
            <w:vAlign w:val="center"/>
          </w:tcPr>
          <w:p w14:paraId="6743AE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日</w:t>
            </w:r>
          </w:p>
        </w:tc>
        <w:tc>
          <w:tcPr>
            <w:tcW w:w="975" w:type="pct"/>
            <w:noWrap w:val="0"/>
            <w:vAlign w:val="center"/>
          </w:tcPr>
          <w:p w14:paraId="199906DD">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狂躁性精神病护理加收8元/日。</w:t>
            </w:r>
          </w:p>
        </w:tc>
      </w:tr>
      <w:tr w14:paraId="1DA44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238" w:type="pct"/>
            <w:noWrap w:val="0"/>
            <w:vAlign w:val="center"/>
          </w:tcPr>
          <w:p w14:paraId="05E39D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11</w:t>
            </w:r>
          </w:p>
        </w:tc>
        <w:tc>
          <w:tcPr>
            <w:tcW w:w="457" w:type="pct"/>
            <w:noWrap w:val="0"/>
            <w:vAlign w:val="center"/>
          </w:tcPr>
          <w:p w14:paraId="15E4CF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120100010</w:t>
            </w:r>
          </w:p>
        </w:tc>
        <w:tc>
          <w:tcPr>
            <w:tcW w:w="694" w:type="pct"/>
            <w:noWrap w:val="0"/>
            <w:vAlign w:val="center"/>
          </w:tcPr>
          <w:p w14:paraId="022C96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气管切开护理</w:t>
            </w:r>
          </w:p>
        </w:tc>
        <w:tc>
          <w:tcPr>
            <w:tcW w:w="1734" w:type="pct"/>
            <w:noWrap w:val="0"/>
            <w:vAlign w:val="center"/>
          </w:tcPr>
          <w:p w14:paraId="4B0B85D8">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含吸痰、药物滴入、定时消毒、更换套管及纱布；包括气管插管护理</w:t>
            </w:r>
          </w:p>
        </w:tc>
        <w:tc>
          <w:tcPr>
            <w:tcW w:w="501" w:type="pct"/>
            <w:noWrap w:val="0"/>
            <w:vAlign w:val="center"/>
          </w:tcPr>
          <w:p w14:paraId="130464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一次性吸痰管、一次性引流管、一次性气管套管</w:t>
            </w:r>
          </w:p>
        </w:tc>
        <w:tc>
          <w:tcPr>
            <w:tcW w:w="398" w:type="pct"/>
            <w:noWrap w:val="0"/>
            <w:vAlign w:val="center"/>
          </w:tcPr>
          <w:p w14:paraId="139992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日</w:t>
            </w:r>
          </w:p>
        </w:tc>
        <w:tc>
          <w:tcPr>
            <w:tcW w:w="975" w:type="pct"/>
            <w:noWrap w:val="0"/>
            <w:vAlign w:val="center"/>
          </w:tcPr>
          <w:p w14:paraId="79F8C2B3">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6周岁及以下儿童加收30%。</w:t>
            </w:r>
          </w:p>
        </w:tc>
      </w:tr>
      <w:tr w14:paraId="09001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38" w:type="pct"/>
            <w:noWrap w:val="0"/>
            <w:vAlign w:val="center"/>
          </w:tcPr>
          <w:p w14:paraId="2CF629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12</w:t>
            </w:r>
          </w:p>
        </w:tc>
        <w:tc>
          <w:tcPr>
            <w:tcW w:w="457" w:type="pct"/>
            <w:noWrap w:val="0"/>
            <w:vAlign w:val="center"/>
          </w:tcPr>
          <w:p w14:paraId="1C0240B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120100012</w:t>
            </w:r>
          </w:p>
        </w:tc>
        <w:tc>
          <w:tcPr>
            <w:tcW w:w="694" w:type="pct"/>
            <w:noWrap w:val="0"/>
            <w:vAlign w:val="center"/>
          </w:tcPr>
          <w:p w14:paraId="506F83A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造瘘护理</w:t>
            </w:r>
          </w:p>
        </w:tc>
        <w:tc>
          <w:tcPr>
            <w:tcW w:w="1734" w:type="pct"/>
            <w:noWrap w:val="0"/>
            <w:vAlign w:val="center"/>
          </w:tcPr>
          <w:p w14:paraId="5A04764E">
            <w:pPr>
              <w:keepNext w:val="0"/>
              <w:keepLines w:val="0"/>
              <w:pageBreakBefore w:val="0"/>
              <w:widowControl/>
              <w:kinsoku/>
              <w:wordWrap/>
              <w:overflowPunct/>
              <w:topLinePunct w:val="0"/>
              <w:autoSpaceDE/>
              <w:autoSpaceDN/>
              <w:bidi w:val="0"/>
              <w:adjustRightInd/>
              <w:snapToGrid/>
              <w:spacing w:line="240" w:lineRule="exact"/>
              <w:jc w:val="both"/>
              <w:rPr>
                <w:rFonts w:hint="eastAsia" w:ascii="仿宋_GB2312" w:hAnsi="仿宋_GB2312" w:eastAsia="仿宋_GB2312" w:cs="仿宋_GB2312"/>
                <w:i w:val="0"/>
                <w:color w:val="auto"/>
                <w:sz w:val="21"/>
                <w:szCs w:val="21"/>
                <w:u w:val="none"/>
              </w:rPr>
            </w:pPr>
          </w:p>
        </w:tc>
        <w:tc>
          <w:tcPr>
            <w:tcW w:w="501" w:type="pct"/>
            <w:noWrap w:val="0"/>
            <w:vAlign w:val="center"/>
          </w:tcPr>
          <w:p w14:paraId="6807E10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造瘘袋、一次性造瘘管</w:t>
            </w:r>
          </w:p>
        </w:tc>
        <w:tc>
          <w:tcPr>
            <w:tcW w:w="398" w:type="pct"/>
            <w:noWrap w:val="0"/>
            <w:vAlign w:val="center"/>
          </w:tcPr>
          <w:p w14:paraId="70D439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次</w:t>
            </w:r>
          </w:p>
        </w:tc>
        <w:tc>
          <w:tcPr>
            <w:tcW w:w="975" w:type="pct"/>
            <w:noWrap w:val="0"/>
            <w:vAlign w:val="center"/>
          </w:tcPr>
          <w:p w14:paraId="31454AD7">
            <w:pPr>
              <w:keepNext w:val="0"/>
              <w:keepLines w:val="0"/>
              <w:pageBreakBefore w:val="0"/>
              <w:widowControl/>
              <w:kinsoku/>
              <w:wordWrap/>
              <w:overflowPunct/>
              <w:topLinePunct w:val="0"/>
              <w:autoSpaceDE/>
              <w:autoSpaceDN/>
              <w:bidi w:val="0"/>
              <w:adjustRightInd/>
              <w:snapToGrid/>
              <w:spacing w:line="240" w:lineRule="exact"/>
              <w:jc w:val="both"/>
              <w:rPr>
                <w:rFonts w:hint="eastAsia" w:ascii="仿宋_GB2312" w:hAnsi="仿宋_GB2312" w:eastAsia="仿宋_GB2312" w:cs="仿宋_GB2312"/>
                <w:i w:val="0"/>
                <w:color w:val="auto"/>
                <w:sz w:val="21"/>
                <w:szCs w:val="21"/>
                <w:u w:val="none"/>
              </w:rPr>
            </w:pPr>
          </w:p>
        </w:tc>
      </w:tr>
      <w:tr w14:paraId="56CE9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jc w:val="center"/>
        </w:trPr>
        <w:tc>
          <w:tcPr>
            <w:tcW w:w="238" w:type="pct"/>
            <w:noWrap w:val="0"/>
            <w:vAlign w:val="center"/>
          </w:tcPr>
          <w:p w14:paraId="4AC1670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13</w:t>
            </w:r>
          </w:p>
        </w:tc>
        <w:tc>
          <w:tcPr>
            <w:tcW w:w="457" w:type="pct"/>
            <w:noWrap w:val="0"/>
            <w:vAlign w:val="center"/>
          </w:tcPr>
          <w:p w14:paraId="22F9A33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120100013</w:t>
            </w:r>
          </w:p>
        </w:tc>
        <w:tc>
          <w:tcPr>
            <w:tcW w:w="694" w:type="pct"/>
            <w:noWrap w:val="0"/>
            <w:vAlign w:val="center"/>
          </w:tcPr>
          <w:p w14:paraId="61588C6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动静脉置管护理</w:t>
            </w:r>
          </w:p>
        </w:tc>
        <w:tc>
          <w:tcPr>
            <w:tcW w:w="1734" w:type="pct"/>
            <w:noWrap w:val="0"/>
            <w:vAlign w:val="center"/>
          </w:tcPr>
          <w:p w14:paraId="1406CC0D">
            <w:pPr>
              <w:keepNext w:val="0"/>
              <w:keepLines w:val="0"/>
              <w:pageBreakBefore w:val="0"/>
              <w:widowControl/>
              <w:kinsoku/>
              <w:wordWrap/>
              <w:overflowPunct/>
              <w:topLinePunct w:val="0"/>
              <w:autoSpaceDE/>
              <w:autoSpaceDN/>
              <w:bidi w:val="0"/>
              <w:adjustRightInd/>
              <w:snapToGrid/>
              <w:spacing w:line="240" w:lineRule="exact"/>
              <w:jc w:val="both"/>
              <w:rPr>
                <w:rFonts w:hint="eastAsia" w:ascii="仿宋_GB2312" w:hAnsi="仿宋_GB2312" w:eastAsia="仿宋_GB2312" w:cs="仿宋_GB2312"/>
                <w:i w:val="0"/>
                <w:color w:val="auto"/>
                <w:sz w:val="21"/>
                <w:szCs w:val="21"/>
                <w:u w:val="none"/>
              </w:rPr>
            </w:pPr>
          </w:p>
        </w:tc>
        <w:tc>
          <w:tcPr>
            <w:tcW w:w="501" w:type="pct"/>
            <w:noWrap w:val="0"/>
            <w:vAlign w:val="center"/>
          </w:tcPr>
          <w:p w14:paraId="302B33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留置针及针管固定防水贴膜</w:t>
            </w:r>
          </w:p>
        </w:tc>
        <w:tc>
          <w:tcPr>
            <w:tcW w:w="398" w:type="pct"/>
            <w:noWrap w:val="0"/>
            <w:vAlign w:val="center"/>
          </w:tcPr>
          <w:p w14:paraId="386132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次</w:t>
            </w:r>
          </w:p>
        </w:tc>
        <w:tc>
          <w:tcPr>
            <w:tcW w:w="975" w:type="pct"/>
            <w:noWrap w:val="0"/>
            <w:vAlign w:val="center"/>
          </w:tcPr>
          <w:p w14:paraId="5F288B02">
            <w:pPr>
              <w:keepNext w:val="0"/>
              <w:keepLines w:val="0"/>
              <w:pageBreakBefore w:val="0"/>
              <w:widowControl/>
              <w:kinsoku/>
              <w:wordWrap/>
              <w:overflowPunct/>
              <w:topLinePunct w:val="0"/>
              <w:autoSpaceDE/>
              <w:autoSpaceDN/>
              <w:bidi w:val="0"/>
              <w:adjustRightInd/>
              <w:snapToGrid/>
              <w:spacing w:line="240" w:lineRule="exact"/>
              <w:jc w:val="both"/>
              <w:rPr>
                <w:rFonts w:hint="eastAsia" w:ascii="仿宋_GB2312" w:hAnsi="仿宋_GB2312" w:eastAsia="仿宋_GB2312" w:cs="仿宋_GB2312"/>
                <w:i w:val="0"/>
                <w:color w:val="auto"/>
                <w:sz w:val="21"/>
                <w:szCs w:val="21"/>
                <w:u w:val="none"/>
              </w:rPr>
            </w:pPr>
          </w:p>
        </w:tc>
      </w:tr>
      <w:tr w14:paraId="19081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jc w:val="center"/>
        </w:trPr>
        <w:tc>
          <w:tcPr>
            <w:tcW w:w="238" w:type="pct"/>
            <w:noWrap w:val="0"/>
            <w:vAlign w:val="center"/>
          </w:tcPr>
          <w:p w14:paraId="742EEB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14</w:t>
            </w:r>
          </w:p>
        </w:tc>
        <w:tc>
          <w:tcPr>
            <w:tcW w:w="457" w:type="pct"/>
            <w:noWrap w:val="0"/>
            <w:vAlign w:val="center"/>
          </w:tcPr>
          <w:p w14:paraId="06165A7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120100014</w:t>
            </w:r>
          </w:p>
        </w:tc>
        <w:tc>
          <w:tcPr>
            <w:tcW w:w="694" w:type="pct"/>
            <w:noWrap w:val="0"/>
            <w:vAlign w:val="center"/>
          </w:tcPr>
          <w:p w14:paraId="260FCEC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一般专项护理</w:t>
            </w:r>
          </w:p>
        </w:tc>
        <w:tc>
          <w:tcPr>
            <w:tcW w:w="1734" w:type="pct"/>
            <w:noWrap w:val="0"/>
            <w:vAlign w:val="center"/>
          </w:tcPr>
          <w:p w14:paraId="7F38FEBE">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包括口腔护理、褥疮护理、会阴冲洗、床上洗发、擦浴等</w:t>
            </w:r>
          </w:p>
        </w:tc>
        <w:tc>
          <w:tcPr>
            <w:tcW w:w="501" w:type="pct"/>
            <w:noWrap w:val="0"/>
            <w:vAlign w:val="center"/>
          </w:tcPr>
          <w:p w14:paraId="138D3A28">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color w:val="auto"/>
                <w:sz w:val="21"/>
                <w:szCs w:val="21"/>
                <w:u w:val="none"/>
              </w:rPr>
            </w:pPr>
          </w:p>
        </w:tc>
        <w:tc>
          <w:tcPr>
            <w:tcW w:w="398" w:type="pct"/>
            <w:noWrap w:val="0"/>
            <w:vAlign w:val="center"/>
          </w:tcPr>
          <w:p w14:paraId="0D195D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次</w:t>
            </w:r>
          </w:p>
        </w:tc>
        <w:tc>
          <w:tcPr>
            <w:tcW w:w="975" w:type="pct"/>
            <w:noWrap w:val="0"/>
            <w:vAlign w:val="center"/>
          </w:tcPr>
          <w:p w14:paraId="2884F7D1">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使用医用气垫床1元/小时、全天不超过15元；由护士护理的才能收费。</w:t>
            </w:r>
          </w:p>
        </w:tc>
      </w:tr>
    </w:tbl>
    <w:p w14:paraId="7E757933">
      <w:pPr>
        <w:tabs>
          <w:tab w:val="left" w:pos="727"/>
        </w:tabs>
        <w:bidi w:val="0"/>
        <w:jc w:val="left"/>
        <w:rPr>
          <w:rFonts w:hint="default"/>
          <w:lang w:val="en-US" w:eastAsia="zh-CN"/>
        </w:rPr>
      </w:pPr>
    </w:p>
    <w:p w14:paraId="25BA8C81">
      <w:pPr>
        <w:rPr>
          <w:rFonts w:hint="default"/>
          <w:lang w:val="en-US" w:eastAsia="zh-CN"/>
        </w:rPr>
      </w:pPr>
    </w:p>
    <w:p w14:paraId="47BC2A76">
      <w:pPr>
        <w:pStyle w:val="4"/>
        <w:keepNext w:val="0"/>
        <w:keepLines w:val="0"/>
        <w:pageBreakBefore w:val="0"/>
        <w:kinsoku/>
        <w:wordWrap/>
        <w:overflowPunct/>
        <w:topLinePunct w:val="0"/>
        <w:autoSpaceDE/>
        <w:autoSpaceDN/>
        <w:bidi w:val="0"/>
        <w:adjustRightInd w:val="0"/>
        <w:snapToGrid w:val="0"/>
        <w:spacing w:beforeAutospacing="0" w:afterAutospacing="0" w:line="560" w:lineRule="exact"/>
        <w:ind w:left="0" w:leftChars="0" w:firstLine="0" w:firstLineChars="0"/>
        <w:textAlignment w:val="auto"/>
        <w:rPr>
          <w:rFonts w:hint="eastAsia" w:ascii="黑体" w:hAnsi="黑体" w:eastAsia="黑体" w:cs="黑体"/>
          <w:color w:val="000000" w:themeColor="text1"/>
          <w:spacing w:val="0"/>
          <w:w w:val="100"/>
          <w:sz w:val="32"/>
          <w:szCs w:val="32"/>
          <w:highlight w:val="none"/>
          <w:lang w:val="en-US" w:eastAsia="zh-CN"/>
          <w14:textFill>
            <w14:solidFill>
              <w14:schemeClr w14:val="tx1"/>
            </w14:solidFill>
          </w14:textFill>
        </w:rPr>
      </w:pPr>
    </w:p>
    <w:p w14:paraId="31F59B67">
      <w:pPr>
        <w:pStyle w:val="4"/>
        <w:keepNext w:val="0"/>
        <w:keepLines w:val="0"/>
        <w:pageBreakBefore w:val="0"/>
        <w:kinsoku/>
        <w:wordWrap/>
        <w:overflowPunct/>
        <w:topLinePunct w:val="0"/>
        <w:autoSpaceDE/>
        <w:autoSpaceDN/>
        <w:bidi w:val="0"/>
        <w:adjustRightInd w:val="0"/>
        <w:snapToGrid w:val="0"/>
        <w:spacing w:beforeAutospacing="0" w:afterAutospacing="0" w:line="560" w:lineRule="exact"/>
        <w:ind w:left="0" w:leftChars="0" w:firstLine="0" w:firstLineChars="0"/>
        <w:textAlignment w:val="auto"/>
        <w:rPr>
          <w:rFonts w:hint="eastAsia" w:ascii="黑体" w:hAnsi="黑体" w:eastAsia="黑体" w:cs="黑体"/>
          <w:color w:val="000000" w:themeColor="text1"/>
          <w:spacing w:val="0"/>
          <w:w w:val="100"/>
          <w:sz w:val="32"/>
          <w:szCs w:val="32"/>
          <w:highlight w:val="none"/>
          <w:lang w:val="en-US" w:eastAsia="zh-CN"/>
          <w14:textFill>
            <w14:solidFill>
              <w14:schemeClr w14:val="tx1"/>
            </w14:solidFill>
          </w14:textFill>
        </w:rPr>
      </w:pPr>
    </w:p>
    <w:p w14:paraId="6B5BE0EC">
      <w:pPr>
        <w:pStyle w:val="4"/>
        <w:keepNext w:val="0"/>
        <w:keepLines w:val="0"/>
        <w:pageBreakBefore w:val="0"/>
        <w:kinsoku/>
        <w:wordWrap/>
        <w:overflowPunct/>
        <w:topLinePunct w:val="0"/>
        <w:autoSpaceDE/>
        <w:autoSpaceDN/>
        <w:bidi w:val="0"/>
        <w:adjustRightInd w:val="0"/>
        <w:snapToGrid w:val="0"/>
        <w:spacing w:beforeAutospacing="0" w:afterAutospacing="0" w:line="560" w:lineRule="exact"/>
        <w:ind w:left="0" w:leftChars="0" w:firstLine="0" w:firstLineChars="0"/>
        <w:textAlignment w:val="auto"/>
        <w:rPr>
          <w:rFonts w:hint="eastAsia" w:ascii="黑体" w:hAnsi="黑体" w:eastAsia="黑体" w:cs="黑体"/>
          <w:color w:val="000000" w:themeColor="text1"/>
          <w:spacing w:val="0"/>
          <w:w w:val="100"/>
          <w:sz w:val="32"/>
          <w:szCs w:val="32"/>
          <w:highlight w:val="none"/>
          <w:lang w:val="en-US" w:eastAsia="zh-CN"/>
          <w14:textFill>
            <w14:solidFill>
              <w14:schemeClr w14:val="tx1"/>
            </w14:solidFill>
          </w14:textFill>
        </w:rPr>
      </w:pPr>
    </w:p>
    <w:p w14:paraId="1A304622">
      <w:pPr>
        <w:pStyle w:val="4"/>
        <w:keepNext w:val="0"/>
        <w:keepLines w:val="0"/>
        <w:pageBreakBefore w:val="0"/>
        <w:kinsoku/>
        <w:wordWrap/>
        <w:overflowPunct/>
        <w:topLinePunct w:val="0"/>
        <w:autoSpaceDE/>
        <w:autoSpaceDN/>
        <w:bidi w:val="0"/>
        <w:adjustRightInd w:val="0"/>
        <w:snapToGrid w:val="0"/>
        <w:spacing w:beforeAutospacing="0" w:afterAutospacing="0" w:line="560" w:lineRule="exact"/>
        <w:ind w:left="0" w:leftChars="0" w:firstLine="0" w:firstLineChars="0"/>
        <w:textAlignment w:val="auto"/>
        <w:rPr>
          <w:rFonts w:hint="eastAsia" w:ascii="黑体" w:hAnsi="黑体" w:eastAsia="黑体" w:cs="黑体"/>
          <w:color w:val="000000" w:themeColor="text1"/>
          <w:spacing w:val="0"/>
          <w:w w:val="100"/>
          <w:sz w:val="32"/>
          <w:szCs w:val="32"/>
          <w:highlight w:val="none"/>
          <w:lang w:val="en-US" w:eastAsia="zh-CN"/>
          <w14:textFill>
            <w14:solidFill>
              <w14:schemeClr w14:val="tx1"/>
            </w14:solidFill>
          </w14:textFill>
        </w:rPr>
      </w:pPr>
    </w:p>
    <w:p w14:paraId="3BCF34D4">
      <w:pPr>
        <w:pStyle w:val="4"/>
        <w:keepNext w:val="0"/>
        <w:keepLines w:val="0"/>
        <w:pageBreakBefore w:val="0"/>
        <w:kinsoku/>
        <w:wordWrap/>
        <w:overflowPunct/>
        <w:topLinePunct w:val="0"/>
        <w:autoSpaceDE/>
        <w:autoSpaceDN/>
        <w:bidi w:val="0"/>
        <w:adjustRightInd w:val="0"/>
        <w:snapToGrid w:val="0"/>
        <w:spacing w:beforeAutospacing="0" w:afterAutospacing="0" w:line="560" w:lineRule="exact"/>
        <w:ind w:left="0" w:leftChars="0" w:firstLine="0" w:firstLineChars="0"/>
        <w:textAlignment w:val="auto"/>
        <w:rPr>
          <w:rFonts w:hint="eastAsia" w:ascii="黑体" w:hAnsi="黑体" w:eastAsia="黑体" w:cs="黑体"/>
          <w:color w:val="000000" w:themeColor="text1"/>
          <w:spacing w:val="0"/>
          <w:w w:val="100"/>
          <w:sz w:val="32"/>
          <w:szCs w:val="32"/>
          <w:highlight w:val="none"/>
          <w:lang w:val="en-US" w:eastAsia="zh-CN"/>
          <w14:textFill>
            <w14:solidFill>
              <w14:schemeClr w14:val="tx1"/>
            </w14:solidFill>
          </w14:textFill>
        </w:rPr>
      </w:pPr>
    </w:p>
    <w:p w14:paraId="77B45191">
      <w:pPr>
        <w:rPr>
          <w:rFonts w:hint="default" w:ascii="方正小标宋简体" w:hAnsi="方正小标宋简体" w:eastAsia="方正小标宋简体" w:cs="方正小标宋简体"/>
          <w:bCs/>
          <w:kern w:val="44"/>
          <w:sz w:val="44"/>
          <w:szCs w:val="44"/>
          <w:lang w:val="en-US" w:eastAsia="zh-CN"/>
        </w:rPr>
        <w:sectPr>
          <w:pgSz w:w="16838" w:h="11906" w:orient="landscape"/>
          <w:pgMar w:top="1134" w:right="1134" w:bottom="1134" w:left="1134" w:header="851" w:footer="992" w:gutter="0"/>
          <w:pgNumType w:fmt="decimal"/>
          <w:cols w:space="0" w:num="1"/>
          <w:rtlGutter w:val="0"/>
          <w:docGrid w:type="lines" w:linePitch="314" w:charSpace="0"/>
        </w:sectPr>
      </w:pPr>
    </w:p>
    <w:p w14:paraId="0DC4560B">
      <w:pPr>
        <w:rPr>
          <w:rFonts w:hint="default" w:ascii="方正小标宋简体" w:hAnsi="方正小标宋简体" w:eastAsia="方正小标宋简体" w:cs="方正小标宋简体"/>
          <w:bCs/>
          <w:kern w:val="44"/>
          <w:sz w:val="44"/>
          <w:szCs w:val="44"/>
          <w:lang w:val="en-US" w:eastAsia="zh-CN"/>
        </w:rPr>
      </w:pPr>
    </w:p>
    <w:p w14:paraId="4E3DEF03">
      <w:pPr>
        <w:bidi w:val="0"/>
        <w:rPr>
          <w:rFonts w:hint="default" w:asciiTheme="minorHAnsi" w:hAnsiTheme="minorHAnsi" w:eastAsiaTheme="minorEastAsia" w:cstheme="minorBidi"/>
          <w:kern w:val="2"/>
          <w:sz w:val="21"/>
          <w:szCs w:val="24"/>
          <w:lang w:val="en-US" w:eastAsia="zh-CN" w:bidi="ar-SA"/>
        </w:rPr>
      </w:pPr>
    </w:p>
    <w:p w14:paraId="386B0B0E">
      <w:pPr>
        <w:bidi w:val="0"/>
        <w:rPr>
          <w:rFonts w:hint="default"/>
          <w:lang w:val="en-US" w:eastAsia="zh-CN"/>
        </w:rPr>
      </w:pPr>
    </w:p>
    <w:p w14:paraId="4269A4F5">
      <w:pPr>
        <w:bidi w:val="0"/>
        <w:rPr>
          <w:rFonts w:hint="default"/>
          <w:lang w:val="en-US" w:eastAsia="zh-CN"/>
        </w:rPr>
      </w:pPr>
    </w:p>
    <w:p w14:paraId="639D320A">
      <w:pPr>
        <w:bidi w:val="0"/>
        <w:rPr>
          <w:rFonts w:hint="default"/>
          <w:lang w:val="en-US" w:eastAsia="zh-CN"/>
        </w:rPr>
      </w:pPr>
    </w:p>
    <w:p w14:paraId="437745EE">
      <w:pPr>
        <w:bidi w:val="0"/>
        <w:rPr>
          <w:rFonts w:hint="default"/>
          <w:lang w:val="en-US" w:eastAsia="zh-CN"/>
        </w:rPr>
      </w:pPr>
    </w:p>
    <w:p w14:paraId="2077108B">
      <w:pPr>
        <w:bidi w:val="0"/>
        <w:rPr>
          <w:rFonts w:hint="default"/>
          <w:lang w:val="en-US" w:eastAsia="zh-CN"/>
        </w:rPr>
      </w:pPr>
    </w:p>
    <w:p w14:paraId="6B348D85">
      <w:pPr>
        <w:bidi w:val="0"/>
        <w:rPr>
          <w:rFonts w:hint="default"/>
          <w:lang w:val="en-US" w:eastAsia="zh-CN"/>
        </w:rPr>
      </w:pPr>
    </w:p>
    <w:p w14:paraId="0725E290">
      <w:pPr>
        <w:bidi w:val="0"/>
        <w:rPr>
          <w:rFonts w:hint="default"/>
          <w:lang w:val="en-US" w:eastAsia="zh-CN"/>
        </w:rPr>
      </w:pPr>
    </w:p>
    <w:p w14:paraId="72FCEDF6">
      <w:pPr>
        <w:bidi w:val="0"/>
        <w:rPr>
          <w:rFonts w:hint="default"/>
          <w:lang w:val="en-US" w:eastAsia="zh-CN"/>
        </w:rPr>
      </w:pPr>
    </w:p>
    <w:p w14:paraId="20C84178">
      <w:pPr>
        <w:bidi w:val="0"/>
        <w:rPr>
          <w:rFonts w:hint="default"/>
          <w:lang w:val="en-US" w:eastAsia="zh-CN"/>
        </w:rPr>
      </w:pPr>
    </w:p>
    <w:p w14:paraId="781F3DF7">
      <w:pPr>
        <w:bidi w:val="0"/>
        <w:rPr>
          <w:rFonts w:hint="default"/>
          <w:lang w:val="en-US" w:eastAsia="zh-CN"/>
        </w:rPr>
      </w:pPr>
    </w:p>
    <w:p w14:paraId="38530495">
      <w:pPr>
        <w:bidi w:val="0"/>
        <w:rPr>
          <w:rFonts w:hint="default"/>
          <w:lang w:val="en-US" w:eastAsia="zh-CN"/>
        </w:rPr>
      </w:pPr>
    </w:p>
    <w:p w14:paraId="76E63B50">
      <w:pPr>
        <w:bidi w:val="0"/>
        <w:rPr>
          <w:rFonts w:hint="default"/>
          <w:lang w:val="en-US" w:eastAsia="zh-CN"/>
        </w:rPr>
      </w:pPr>
    </w:p>
    <w:p w14:paraId="6BD14593">
      <w:pPr>
        <w:bidi w:val="0"/>
        <w:rPr>
          <w:rFonts w:hint="default"/>
          <w:lang w:val="en-US" w:eastAsia="zh-CN"/>
        </w:rPr>
      </w:pPr>
    </w:p>
    <w:p w14:paraId="476BC0EB">
      <w:pPr>
        <w:bidi w:val="0"/>
        <w:rPr>
          <w:rFonts w:hint="default"/>
          <w:lang w:val="en-US" w:eastAsia="zh-CN"/>
        </w:rPr>
      </w:pPr>
    </w:p>
    <w:p w14:paraId="00DCA13B">
      <w:pPr>
        <w:bidi w:val="0"/>
        <w:rPr>
          <w:rFonts w:hint="default"/>
          <w:lang w:val="en-US" w:eastAsia="zh-CN"/>
        </w:rPr>
      </w:pPr>
    </w:p>
    <w:p w14:paraId="68E31C1C">
      <w:pPr>
        <w:bidi w:val="0"/>
        <w:rPr>
          <w:rFonts w:hint="default"/>
          <w:lang w:val="en-US" w:eastAsia="zh-CN"/>
        </w:rPr>
      </w:pPr>
    </w:p>
    <w:p w14:paraId="069CC3B6">
      <w:pPr>
        <w:bidi w:val="0"/>
        <w:rPr>
          <w:rFonts w:hint="default"/>
          <w:lang w:val="en-US" w:eastAsia="zh-CN"/>
        </w:rPr>
      </w:pPr>
    </w:p>
    <w:p w14:paraId="2F2A6B41">
      <w:pPr>
        <w:bidi w:val="0"/>
        <w:rPr>
          <w:rFonts w:hint="default"/>
          <w:lang w:val="en-US" w:eastAsia="zh-CN"/>
        </w:rPr>
      </w:pPr>
    </w:p>
    <w:p w14:paraId="355A4E8F">
      <w:pPr>
        <w:bidi w:val="0"/>
        <w:rPr>
          <w:rFonts w:hint="default"/>
          <w:lang w:val="en-US" w:eastAsia="zh-CN"/>
        </w:rPr>
      </w:pPr>
    </w:p>
    <w:p w14:paraId="74510193">
      <w:pPr>
        <w:bidi w:val="0"/>
        <w:rPr>
          <w:rFonts w:hint="default"/>
          <w:lang w:val="en-US" w:eastAsia="zh-CN"/>
        </w:rPr>
      </w:pPr>
    </w:p>
    <w:p w14:paraId="1AB14C0A">
      <w:pPr>
        <w:bidi w:val="0"/>
        <w:rPr>
          <w:rFonts w:hint="default"/>
          <w:lang w:val="en-US" w:eastAsia="zh-CN"/>
        </w:rPr>
      </w:pPr>
    </w:p>
    <w:p w14:paraId="7B395714">
      <w:pPr>
        <w:bidi w:val="0"/>
        <w:rPr>
          <w:rFonts w:hint="default"/>
          <w:lang w:val="en-US" w:eastAsia="zh-CN"/>
        </w:rPr>
      </w:pPr>
    </w:p>
    <w:p w14:paraId="6AEE5A4B">
      <w:pPr>
        <w:rPr>
          <w:rFonts w:hint="eastAsia"/>
          <w:lang w:val="en-US" w:eastAsia="zh-CN"/>
        </w:rPr>
      </w:pPr>
      <w:r>
        <w:rPr>
          <w:rFonts w:hint="eastAsia"/>
          <w:lang w:val="en-US" w:eastAsia="zh-CN"/>
        </w:rPr>
        <w:tab/>
      </w:r>
    </w:p>
    <w:p w14:paraId="0EF7BC96">
      <w:pPr>
        <w:rPr>
          <w:rFonts w:hint="eastAsia"/>
          <w:lang w:val="en-US" w:eastAsia="zh-CN"/>
        </w:rPr>
      </w:pPr>
    </w:p>
    <w:p w14:paraId="2B9AA52C">
      <w:pPr>
        <w:rPr>
          <w:rFonts w:hint="eastAsia"/>
          <w:lang w:val="en-US" w:eastAsia="zh-CN"/>
        </w:rPr>
      </w:pPr>
    </w:p>
    <w:p w14:paraId="1D265004">
      <w:pPr>
        <w:rPr>
          <w:rFonts w:hint="eastAsia"/>
          <w:lang w:val="en-US" w:eastAsia="zh-CN"/>
        </w:rPr>
      </w:pPr>
    </w:p>
    <w:tbl>
      <w:tblPr>
        <w:tblStyle w:val="10"/>
        <w:tblpPr w:leftFromText="180" w:rightFromText="180" w:vertAnchor="text" w:horzAnchor="page" w:tblpX="1457" w:tblpY="761"/>
        <w:tblOverlap w:val="never"/>
        <w:tblW w:w="9039" w:type="dxa"/>
        <w:jc w:val="center"/>
        <w:tblBorders>
          <w:top w:val="single" w:color="auto" w:sz="12" w:space="0"/>
          <w:left w:val="none" w:color="auto" w:sz="0" w:space="0"/>
          <w:bottom w:val="single" w:color="auto" w:sz="12" w:space="0"/>
          <w:right w:val="none" w:color="auto" w:sz="0" w:space="0"/>
          <w:insideH w:val="single" w:color="auto" w:sz="8" w:space="0"/>
          <w:insideV w:val="none" w:color="auto" w:sz="0" w:space="0"/>
        </w:tblBorders>
        <w:tblLayout w:type="fixed"/>
        <w:tblCellMar>
          <w:top w:w="0" w:type="dxa"/>
          <w:left w:w="108" w:type="dxa"/>
          <w:bottom w:w="0" w:type="dxa"/>
          <w:right w:w="108" w:type="dxa"/>
        </w:tblCellMar>
      </w:tblPr>
      <w:tblGrid>
        <w:gridCol w:w="9039"/>
      </w:tblGrid>
      <w:tr w14:paraId="24039CC4">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108" w:type="dxa"/>
            <w:bottom w:w="0" w:type="dxa"/>
            <w:right w:w="108" w:type="dxa"/>
          </w:tblCellMar>
        </w:tblPrEx>
        <w:trPr>
          <w:trHeight w:val="617" w:hRule="atLeast"/>
          <w:jc w:val="center"/>
        </w:trPr>
        <w:tc>
          <w:tcPr>
            <w:tcW w:w="9039" w:type="dxa"/>
            <w:tcBorders>
              <w:tl2br w:val="nil"/>
              <w:tr2bl w:val="nil"/>
            </w:tcBorders>
            <w:noWrap w:val="0"/>
            <w:vAlign w:val="center"/>
          </w:tcPr>
          <w:p w14:paraId="3B536570">
            <w:pPr>
              <w:keepNext w:val="0"/>
              <w:keepLines w:val="0"/>
              <w:pageBreakBefore w:val="0"/>
              <w:widowControl/>
              <w:kinsoku/>
              <w:wordWrap/>
              <w:overflowPunct/>
              <w:topLinePunct w:val="0"/>
              <w:autoSpaceDE/>
              <w:autoSpaceDN/>
              <w:bidi w:val="0"/>
              <w:adjustRightInd/>
              <w:snapToGrid/>
              <w:spacing w:line="560" w:lineRule="exact"/>
              <w:ind w:left="1119" w:leftChars="133" w:hanging="840" w:hangingChars="300"/>
              <w:jc w:val="both"/>
              <w:textAlignment w:val="auto"/>
              <w:rPr>
                <w:rFonts w:hint="eastAsia" w:ascii="宋体" w:hAnsi="宋体" w:eastAsia="仿宋_GB2312" w:cs="仿宋"/>
                <w:kern w:val="0"/>
                <w:sz w:val="28"/>
                <w:szCs w:val="28"/>
                <w:lang w:eastAsia="zh-CN"/>
              </w:rPr>
            </w:pPr>
            <w:r>
              <w:rPr>
                <w:rFonts w:hint="eastAsia" w:ascii="宋体" w:hAnsi="宋体" w:eastAsia="仿宋_GB2312" w:cs="仿宋"/>
                <w:kern w:val="0"/>
                <w:sz w:val="28"/>
                <w:szCs w:val="28"/>
                <w:lang w:eastAsia="zh-CN"/>
              </w:rPr>
              <w:t>抄送：</w:t>
            </w:r>
            <w:r>
              <w:rPr>
                <w:rFonts w:hint="eastAsia" w:ascii="宋体" w:hAnsi="宋体" w:eastAsia="仿宋_GB2312" w:cs="仿宋"/>
                <w:color w:val="auto"/>
                <w:kern w:val="0"/>
                <w:sz w:val="28"/>
                <w:szCs w:val="28"/>
                <w:lang w:val="en-US" w:eastAsia="zh-CN"/>
              </w:rPr>
              <w:t>市</w:t>
            </w:r>
            <w:r>
              <w:rPr>
                <w:rFonts w:hint="eastAsia" w:ascii="宋体" w:hAnsi="宋体" w:eastAsia="仿宋_GB2312" w:cs="仿宋"/>
                <w:color w:val="auto"/>
                <w:kern w:val="0"/>
                <w:sz w:val="28"/>
                <w:szCs w:val="28"/>
              </w:rPr>
              <w:t>卫生健康委、</w:t>
            </w:r>
            <w:r>
              <w:rPr>
                <w:rFonts w:hint="eastAsia" w:ascii="宋体" w:hAnsi="宋体" w:eastAsia="仿宋_GB2312" w:cs="仿宋"/>
                <w:color w:val="auto"/>
                <w:kern w:val="0"/>
                <w:sz w:val="28"/>
                <w:szCs w:val="28"/>
                <w:lang w:val="en-US" w:eastAsia="zh-CN"/>
              </w:rPr>
              <w:t>市</w:t>
            </w:r>
            <w:r>
              <w:rPr>
                <w:rFonts w:hint="eastAsia" w:ascii="宋体" w:hAnsi="宋体" w:eastAsia="仿宋_GB2312" w:cs="仿宋"/>
                <w:color w:val="auto"/>
                <w:kern w:val="0"/>
                <w:sz w:val="28"/>
                <w:szCs w:val="28"/>
              </w:rPr>
              <w:t>市场监督管理局，</w:t>
            </w:r>
            <w:r>
              <w:rPr>
                <w:rFonts w:hint="eastAsia" w:ascii="宋体" w:hAnsi="宋体" w:eastAsia="仿宋_GB2312" w:cs="仿宋"/>
                <w:color w:val="auto"/>
                <w:kern w:val="0"/>
                <w:sz w:val="28"/>
                <w:szCs w:val="28"/>
                <w:lang w:val="en-US" w:eastAsia="zh-CN"/>
              </w:rPr>
              <w:t>市医疗保障基金管理中心、市医疗保障监测中心</w:t>
            </w:r>
            <w:r>
              <w:rPr>
                <w:rFonts w:hint="eastAsia" w:ascii="宋体" w:hAnsi="宋体" w:eastAsia="仿宋_GB2312" w:cs="仿宋"/>
                <w:color w:val="auto"/>
                <w:kern w:val="0"/>
                <w:sz w:val="28"/>
                <w:szCs w:val="28"/>
              </w:rPr>
              <w:t>。</w:t>
            </w:r>
          </w:p>
        </w:tc>
      </w:tr>
      <w:tr w14:paraId="5B0672C5">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108" w:type="dxa"/>
            <w:bottom w:w="0" w:type="dxa"/>
            <w:right w:w="108" w:type="dxa"/>
          </w:tblCellMar>
        </w:tblPrEx>
        <w:trPr>
          <w:trHeight w:val="617" w:hRule="atLeast"/>
          <w:jc w:val="center"/>
        </w:trPr>
        <w:tc>
          <w:tcPr>
            <w:tcW w:w="9039" w:type="dxa"/>
            <w:tcBorders>
              <w:tl2br w:val="nil"/>
              <w:tr2bl w:val="nil"/>
            </w:tcBorders>
            <w:noWrap w:val="0"/>
            <w:vAlign w:val="center"/>
          </w:tcPr>
          <w:p w14:paraId="47BB0521">
            <w:pPr>
              <w:keepNext w:val="0"/>
              <w:keepLines w:val="0"/>
              <w:pageBreakBefore w:val="0"/>
              <w:widowControl/>
              <w:kinsoku/>
              <w:wordWrap/>
              <w:overflowPunct/>
              <w:topLinePunct w:val="0"/>
              <w:autoSpaceDE/>
              <w:autoSpaceDN/>
              <w:bidi w:val="0"/>
              <w:adjustRightInd/>
              <w:snapToGrid/>
              <w:spacing w:line="560" w:lineRule="exact"/>
              <w:ind w:firstLine="280" w:firstLineChars="100"/>
              <w:jc w:val="both"/>
              <w:textAlignment w:val="auto"/>
              <w:rPr>
                <w:rFonts w:ascii="宋体" w:hAnsi="宋体" w:eastAsia="仿宋_GB2312" w:cs="仿宋"/>
                <w:kern w:val="0"/>
                <w:sz w:val="28"/>
                <w:szCs w:val="28"/>
              </w:rPr>
            </w:pPr>
            <w:r>
              <w:rPr>
                <w:rFonts w:hint="eastAsia" w:ascii="宋体" w:hAnsi="宋体" w:eastAsia="仿宋_GB2312" w:cs="仿宋"/>
                <w:kern w:val="0"/>
                <w:sz w:val="28"/>
                <w:szCs w:val="28"/>
                <w:lang w:val="en-US" w:eastAsia="zh-CN"/>
              </w:rPr>
              <w:t>赣州市</w:t>
            </w:r>
            <w:r>
              <w:rPr>
                <w:rFonts w:hint="eastAsia" w:ascii="宋体" w:hAnsi="宋体" w:eastAsia="仿宋_GB2312" w:cs="仿宋"/>
                <w:kern w:val="0"/>
                <w:sz w:val="28"/>
                <w:szCs w:val="28"/>
              </w:rPr>
              <w:t xml:space="preserve">医疗保障局办公室             </w:t>
            </w:r>
            <w:r>
              <w:rPr>
                <w:rFonts w:hint="eastAsia" w:ascii="宋体" w:hAnsi="宋体" w:eastAsia="仿宋_GB2312" w:cs="仿宋"/>
                <w:kern w:val="0"/>
                <w:sz w:val="28"/>
                <w:szCs w:val="28"/>
                <w:lang w:val="en-US" w:eastAsia="zh-CN"/>
              </w:rPr>
              <w:t xml:space="preserve">  </w:t>
            </w:r>
            <w:r>
              <w:rPr>
                <w:rFonts w:hint="eastAsia" w:ascii="宋体" w:hAnsi="宋体" w:eastAsia="仿宋_GB2312" w:cs="仿宋"/>
                <w:kern w:val="0"/>
                <w:sz w:val="28"/>
                <w:szCs w:val="28"/>
              </w:rPr>
              <w:t xml:space="preserve"> </w:t>
            </w:r>
            <w:r>
              <w:rPr>
                <w:rFonts w:hint="eastAsia" w:ascii="宋体" w:hAnsi="宋体" w:eastAsia="仿宋_GB2312" w:cs="仿宋"/>
                <w:kern w:val="0"/>
                <w:sz w:val="28"/>
                <w:szCs w:val="28"/>
                <w:lang w:val="en-US" w:eastAsia="zh-CN"/>
              </w:rPr>
              <w:t xml:space="preserve"> </w:t>
            </w:r>
            <w:r>
              <w:rPr>
                <w:rFonts w:hint="eastAsia" w:ascii="宋体" w:hAnsi="宋体" w:eastAsia="仿宋_GB2312" w:cs="仿宋"/>
                <w:kern w:val="0"/>
                <w:sz w:val="28"/>
                <w:szCs w:val="28"/>
              </w:rPr>
              <w:t xml:space="preserve">  202</w:t>
            </w:r>
            <w:r>
              <w:rPr>
                <w:rFonts w:hint="eastAsia" w:ascii="宋体" w:hAnsi="宋体" w:eastAsia="仿宋_GB2312" w:cs="仿宋"/>
                <w:kern w:val="0"/>
                <w:sz w:val="28"/>
                <w:szCs w:val="28"/>
                <w:lang w:val="en-US" w:eastAsia="zh-CN"/>
              </w:rPr>
              <w:t>5</w:t>
            </w:r>
            <w:r>
              <w:rPr>
                <w:rFonts w:hint="eastAsia" w:ascii="宋体" w:hAnsi="宋体" w:eastAsia="仿宋_GB2312" w:cs="仿宋"/>
                <w:kern w:val="0"/>
                <w:sz w:val="28"/>
                <w:szCs w:val="28"/>
              </w:rPr>
              <w:t>年</w:t>
            </w:r>
            <w:r>
              <w:rPr>
                <w:rFonts w:hint="eastAsia" w:ascii="宋体" w:hAnsi="宋体" w:eastAsia="仿宋_GB2312" w:cs="仿宋"/>
                <w:kern w:val="0"/>
                <w:sz w:val="28"/>
                <w:szCs w:val="28"/>
                <w:lang w:val="en-US" w:eastAsia="zh-CN"/>
              </w:rPr>
              <w:t>4</w:t>
            </w:r>
            <w:r>
              <w:rPr>
                <w:rFonts w:hint="eastAsia" w:ascii="宋体" w:hAnsi="宋体" w:eastAsia="仿宋_GB2312" w:cs="仿宋"/>
                <w:kern w:val="0"/>
                <w:sz w:val="28"/>
                <w:szCs w:val="28"/>
              </w:rPr>
              <w:t>月</w:t>
            </w:r>
            <w:r>
              <w:rPr>
                <w:rFonts w:hint="eastAsia" w:ascii="宋体" w:hAnsi="宋体" w:eastAsia="仿宋_GB2312" w:cs="仿宋"/>
                <w:kern w:val="0"/>
                <w:sz w:val="28"/>
                <w:szCs w:val="28"/>
                <w:lang w:val="en-US" w:eastAsia="zh-CN"/>
              </w:rPr>
              <w:t>29</w:t>
            </w:r>
            <w:r>
              <w:rPr>
                <w:rFonts w:hint="eastAsia" w:ascii="宋体" w:hAnsi="宋体" w:eastAsia="仿宋_GB2312" w:cs="仿宋"/>
                <w:kern w:val="0"/>
                <w:sz w:val="28"/>
                <w:szCs w:val="28"/>
              </w:rPr>
              <w:t>日印发</w:t>
            </w:r>
          </w:p>
        </w:tc>
      </w:tr>
    </w:tbl>
    <w:p w14:paraId="28C0AE2B">
      <w:pPr>
        <w:rPr>
          <w:rFonts w:hint="eastAsia"/>
          <w:lang w:val="en-US" w:eastAsia="zh-CN"/>
        </w:rPr>
      </w:pPr>
    </w:p>
    <w:p w14:paraId="7130CE94">
      <w:pPr>
        <w:rPr>
          <w:rFonts w:hint="default" w:ascii="方正小标宋简体" w:hAnsi="方正小标宋简体" w:eastAsia="方正小标宋简体" w:cs="方正小标宋简体"/>
          <w:bCs/>
          <w:kern w:val="44"/>
          <w:sz w:val="44"/>
          <w:szCs w:val="44"/>
          <w:lang w:val="en-US" w:eastAsia="zh-CN"/>
        </w:rPr>
      </w:pPr>
      <w:r>
        <w:rPr>
          <w:rFonts w:hint="eastAsia" w:ascii="宋体" w:hAnsi="宋体" w:eastAsia="仿宋_GB2312"/>
          <w:sz w:val="28"/>
          <w:lang w:val="en-US" w:eastAsia="zh-CN"/>
        </w:rPr>
        <w:t>一校：谢宝松            二校：钟海滨            三校：刘剑飞</w:t>
      </w:r>
    </w:p>
    <w:sectPr>
      <w:pgSz w:w="11906" w:h="16838"/>
      <w:pgMar w:top="2098" w:right="1474" w:bottom="1984" w:left="1587" w:header="851" w:footer="1587" w:gutter="0"/>
      <w:pgNumType w:fmt="decimal"/>
      <w:cols w:space="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Times New Roman Regular">
    <w:altName w:val="Times New Roman"/>
    <w:panose1 w:val="02020603050405020304"/>
    <w:charset w:val="00"/>
    <w:family w:val="auto"/>
    <w:pitch w:val="default"/>
    <w:sig w:usb0="00000000" w:usb1="00000000"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9179C1">
    <w:pPr>
      <w:pStyle w:val="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622935" cy="230505"/>
              <wp:effectExtent l="0" t="0" r="0" b="0"/>
              <wp:wrapNone/>
              <wp:docPr id="4" name="文本框 4"/>
              <wp:cNvGraphicFramePr/>
              <a:graphic xmlns:a="http://schemas.openxmlformats.org/drawingml/2006/main">
                <a:graphicData uri="http://schemas.microsoft.com/office/word/2010/wordprocessingShape">
                  <wps:wsp>
                    <wps:cNvSpPr txBox="1"/>
                    <wps:spPr>
                      <a:xfrm>
                        <a:off x="0" y="0"/>
                        <a:ext cx="622935" cy="230505"/>
                      </a:xfrm>
                      <a:prstGeom prst="rect">
                        <a:avLst/>
                      </a:prstGeom>
                      <a:noFill/>
                      <a:ln>
                        <a:noFill/>
                      </a:ln>
                      <a:effectLst/>
                    </wps:spPr>
                    <wps:txbx>
                      <w:txbxContent>
                        <w:p w14:paraId="5CDD317C">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8.15pt;width:49.05pt;mso-position-horizontal:outside;mso-position-horizontal-relative:margin;mso-wrap-style:none;z-index:251659264;mso-width-relative:page;mso-height-relative:page;" filled="f" stroked="f" coordsize="21600,21600" o:gfxdata="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&#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EgzMxXRAAAAAwEAAA8AAAAAAAAAAQAgAAAAIgAAAGRy&#10;cy9kb3ducmV2LnhtbFBLAQIUABQAAAAIAIdO4kBKPR3U0wEAAKUDAAAOAAAAAAAAAAEAIAAAACAB&#10;AABkcnMvZTJvRG9jLnhtbFBLBQYAAAAABgAGAFkBAABlBQAAAAA=&#10;">
              <v:fill on="f" focussize="0,0"/>
              <v:stroke on="f"/>
              <v:imagedata o:title=""/>
              <o:lock v:ext="edit" aspectratio="f"/>
              <v:textbox inset="0mm,0mm,0mm,0mm" style="mso-fit-shape-to-text:t;">
                <w:txbxContent>
                  <w:p w14:paraId="5CDD317C">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7"/>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kYzJlNzcwMTM1OGUxYTQwZmUwM2Q4MjkwMzY0MjYifQ=="/>
  </w:docVars>
  <w:rsids>
    <w:rsidRoot w:val="36C9055E"/>
    <w:rsid w:val="00EB60B2"/>
    <w:rsid w:val="0182598F"/>
    <w:rsid w:val="01F23F3B"/>
    <w:rsid w:val="022E28B4"/>
    <w:rsid w:val="026C2582"/>
    <w:rsid w:val="02861AF3"/>
    <w:rsid w:val="02987B74"/>
    <w:rsid w:val="03847E28"/>
    <w:rsid w:val="03CF3A69"/>
    <w:rsid w:val="04673CA2"/>
    <w:rsid w:val="048810DE"/>
    <w:rsid w:val="04B844FD"/>
    <w:rsid w:val="04C24CB3"/>
    <w:rsid w:val="05031C1C"/>
    <w:rsid w:val="063602ED"/>
    <w:rsid w:val="067965FD"/>
    <w:rsid w:val="067A324A"/>
    <w:rsid w:val="069F73D3"/>
    <w:rsid w:val="06B17456"/>
    <w:rsid w:val="07AD2971"/>
    <w:rsid w:val="07B51B6B"/>
    <w:rsid w:val="080E352C"/>
    <w:rsid w:val="091A40B1"/>
    <w:rsid w:val="09420839"/>
    <w:rsid w:val="09B71227"/>
    <w:rsid w:val="09EC7F05"/>
    <w:rsid w:val="0A075D0B"/>
    <w:rsid w:val="0A753EBE"/>
    <w:rsid w:val="0AF32FA6"/>
    <w:rsid w:val="0B0F5AD8"/>
    <w:rsid w:val="0B811AED"/>
    <w:rsid w:val="0BB772BD"/>
    <w:rsid w:val="0BC16DAA"/>
    <w:rsid w:val="0D585B80"/>
    <w:rsid w:val="0E26762D"/>
    <w:rsid w:val="0E3438E1"/>
    <w:rsid w:val="0EAA4EB7"/>
    <w:rsid w:val="0F2729AB"/>
    <w:rsid w:val="0F476BAA"/>
    <w:rsid w:val="0F6E5117"/>
    <w:rsid w:val="0F984CA9"/>
    <w:rsid w:val="0FA21996"/>
    <w:rsid w:val="10CF32FA"/>
    <w:rsid w:val="114C56CB"/>
    <w:rsid w:val="11766A90"/>
    <w:rsid w:val="119A1F6B"/>
    <w:rsid w:val="11E711AA"/>
    <w:rsid w:val="1209283C"/>
    <w:rsid w:val="12333415"/>
    <w:rsid w:val="132C0A36"/>
    <w:rsid w:val="137454F5"/>
    <w:rsid w:val="13A06637"/>
    <w:rsid w:val="13FC62EB"/>
    <w:rsid w:val="147578A9"/>
    <w:rsid w:val="14C012DC"/>
    <w:rsid w:val="17121AB3"/>
    <w:rsid w:val="17245D02"/>
    <w:rsid w:val="17D138E4"/>
    <w:rsid w:val="19445258"/>
    <w:rsid w:val="194725C7"/>
    <w:rsid w:val="19E10776"/>
    <w:rsid w:val="1A6836E2"/>
    <w:rsid w:val="1A6B4094"/>
    <w:rsid w:val="1B476D9F"/>
    <w:rsid w:val="1B4D19EC"/>
    <w:rsid w:val="1C4E2EFE"/>
    <w:rsid w:val="1D48246B"/>
    <w:rsid w:val="1D86505E"/>
    <w:rsid w:val="1E3E4E49"/>
    <w:rsid w:val="1F672950"/>
    <w:rsid w:val="1F8150EA"/>
    <w:rsid w:val="1FA45160"/>
    <w:rsid w:val="21AB121A"/>
    <w:rsid w:val="21C83B7A"/>
    <w:rsid w:val="241D290A"/>
    <w:rsid w:val="24821F96"/>
    <w:rsid w:val="24B44889"/>
    <w:rsid w:val="252B2389"/>
    <w:rsid w:val="252C5CD3"/>
    <w:rsid w:val="26FC7CDF"/>
    <w:rsid w:val="28E978C7"/>
    <w:rsid w:val="28EF6F2E"/>
    <w:rsid w:val="29656D42"/>
    <w:rsid w:val="2A1E1108"/>
    <w:rsid w:val="2A447523"/>
    <w:rsid w:val="2B035C23"/>
    <w:rsid w:val="2BAD5B8F"/>
    <w:rsid w:val="2C8D7E9A"/>
    <w:rsid w:val="2D8A43D9"/>
    <w:rsid w:val="2D901140"/>
    <w:rsid w:val="2DA57465"/>
    <w:rsid w:val="2F192FC1"/>
    <w:rsid w:val="2F5E5B1E"/>
    <w:rsid w:val="2F8B70F8"/>
    <w:rsid w:val="30285805"/>
    <w:rsid w:val="302F3016"/>
    <w:rsid w:val="30A21A3A"/>
    <w:rsid w:val="30B91D37"/>
    <w:rsid w:val="30C73A3B"/>
    <w:rsid w:val="30F02D3F"/>
    <w:rsid w:val="316C4755"/>
    <w:rsid w:val="316D7091"/>
    <w:rsid w:val="318D26EA"/>
    <w:rsid w:val="31AA5F73"/>
    <w:rsid w:val="325900D7"/>
    <w:rsid w:val="32BE3A9A"/>
    <w:rsid w:val="33065602"/>
    <w:rsid w:val="331F1195"/>
    <w:rsid w:val="33356B95"/>
    <w:rsid w:val="33B25689"/>
    <w:rsid w:val="347436ED"/>
    <w:rsid w:val="34DE5CD2"/>
    <w:rsid w:val="368220F2"/>
    <w:rsid w:val="36914A2B"/>
    <w:rsid w:val="36C9055E"/>
    <w:rsid w:val="37404D66"/>
    <w:rsid w:val="37E83227"/>
    <w:rsid w:val="38095A37"/>
    <w:rsid w:val="39E206A0"/>
    <w:rsid w:val="39E6508D"/>
    <w:rsid w:val="3A8F06FE"/>
    <w:rsid w:val="3AE07543"/>
    <w:rsid w:val="3B1F2605"/>
    <w:rsid w:val="3BFB5146"/>
    <w:rsid w:val="3CA01523"/>
    <w:rsid w:val="3D7C1CB9"/>
    <w:rsid w:val="3E141223"/>
    <w:rsid w:val="3FC714BD"/>
    <w:rsid w:val="408D0DFA"/>
    <w:rsid w:val="40C94DC1"/>
    <w:rsid w:val="41F2019E"/>
    <w:rsid w:val="42350960"/>
    <w:rsid w:val="42383F53"/>
    <w:rsid w:val="42E66665"/>
    <w:rsid w:val="434B59BB"/>
    <w:rsid w:val="450D1BA9"/>
    <w:rsid w:val="452012F3"/>
    <w:rsid w:val="452D073E"/>
    <w:rsid w:val="453E5D7D"/>
    <w:rsid w:val="45420DE7"/>
    <w:rsid w:val="46DD60D7"/>
    <w:rsid w:val="47E63B9E"/>
    <w:rsid w:val="48560C68"/>
    <w:rsid w:val="48AA5459"/>
    <w:rsid w:val="49CB0D28"/>
    <w:rsid w:val="4A373F35"/>
    <w:rsid w:val="4A7D0BC1"/>
    <w:rsid w:val="4AC75AD4"/>
    <w:rsid w:val="4ADF3B5F"/>
    <w:rsid w:val="4B4D1F72"/>
    <w:rsid w:val="4B644064"/>
    <w:rsid w:val="4B8F72E5"/>
    <w:rsid w:val="4CA22DDD"/>
    <w:rsid w:val="4CEA0599"/>
    <w:rsid w:val="4D4001B9"/>
    <w:rsid w:val="4DA55A82"/>
    <w:rsid w:val="4E96255C"/>
    <w:rsid w:val="4F0E5092"/>
    <w:rsid w:val="4F1B3C96"/>
    <w:rsid w:val="50EA0B67"/>
    <w:rsid w:val="510B1DA6"/>
    <w:rsid w:val="517A06E1"/>
    <w:rsid w:val="51BA0B57"/>
    <w:rsid w:val="51F9218A"/>
    <w:rsid w:val="52A5743C"/>
    <w:rsid w:val="52F54D62"/>
    <w:rsid w:val="53762B86"/>
    <w:rsid w:val="5381030E"/>
    <w:rsid w:val="53D37FD9"/>
    <w:rsid w:val="54575683"/>
    <w:rsid w:val="54A74B1E"/>
    <w:rsid w:val="55072D08"/>
    <w:rsid w:val="553B4EC1"/>
    <w:rsid w:val="556246D0"/>
    <w:rsid w:val="5621502B"/>
    <w:rsid w:val="568A7075"/>
    <w:rsid w:val="573B3011"/>
    <w:rsid w:val="576F78D7"/>
    <w:rsid w:val="57957FF4"/>
    <w:rsid w:val="581312C1"/>
    <w:rsid w:val="582E1C82"/>
    <w:rsid w:val="58532B81"/>
    <w:rsid w:val="58D7088D"/>
    <w:rsid w:val="58FB5FCE"/>
    <w:rsid w:val="59080725"/>
    <w:rsid w:val="595F14E2"/>
    <w:rsid w:val="59CD4D46"/>
    <w:rsid w:val="59E44CEE"/>
    <w:rsid w:val="5B552605"/>
    <w:rsid w:val="5B601B3B"/>
    <w:rsid w:val="5BD76FD7"/>
    <w:rsid w:val="5BEF1728"/>
    <w:rsid w:val="5C6B5855"/>
    <w:rsid w:val="5C96343D"/>
    <w:rsid w:val="5CE2128D"/>
    <w:rsid w:val="5CEB25CF"/>
    <w:rsid w:val="5D5462B4"/>
    <w:rsid w:val="5E0314BA"/>
    <w:rsid w:val="5E322F1A"/>
    <w:rsid w:val="5EA7453C"/>
    <w:rsid w:val="5F321C83"/>
    <w:rsid w:val="61783F6D"/>
    <w:rsid w:val="62206ADF"/>
    <w:rsid w:val="62B30B23"/>
    <w:rsid w:val="636649C5"/>
    <w:rsid w:val="63D15976"/>
    <w:rsid w:val="646802C9"/>
    <w:rsid w:val="64D0367B"/>
    <w:rsid w:val="654B3E73"/>
    <w:rsid w:val="66376627"/>
    <w:rsid w:val="663E15FB"/>
    <w:rsid w:val="664109EF"/>
    <w:rsid w:val="664B1C51"/>
    <w:rsid w:val="66A925E9"/>
    <w:rsid w:val="66B9395D"/>
    <w:rsid w:val="67987117"/>
    <w:rsid w:val="67EC6A5C"/>
    <w:rsid w:val="697D415D"/>
    <w:rsid w:val="69EF3467"/>
    <w:rsid w:val="6A0E546F"/>
    <w:rsid w:val="6B1D7377"/>
    <w:rsid w:val="6B3228BD"/>
    <w:rsid w:val="6B6B512C"/>
    <w:rsid w:val="6BA315EC"/>
    <w:rsid w:val="6BC24763"/>
    <w:rsid w:val="6C021003"/>
    <w:rsid w:val="6C44786E"/>
    <w:rsid w:val="6C7E2322"/>
    <w:rsid w:val="6D4D2752"/>
    <w:rsid w:val="6D565AFB"/>
    <w:rsid w:val="6DE7B521"/>
    <w:rsid w:val="6E2766F2"/>
    <w:rsid w:val="6EFC4430"/>
    <w:rsid w:val="6F166562"/>
    <w:rsid w:val="6F7F5EC2"/>
    <w:rsid w:val="6FC7059A"/>
    <w:rsid w:val="6FE536DF"/>
    <w:rsid w:val="715B78AE"/>
    <w:rsid w:val="71AB4831"/>
    <w:rsid w:val="71B845FC"/>
    <w:rsid w:val="72087044"/>
    <w:rsid w:val="722222DB"/>
    <w:rsid w:val="727F33AE"/>
    <w:rsid w:val="72EC0317"/>
    <w:rsid w:val="7304188B"/>
    <w:rsid w:val="738A433D"/>
    <w:rsid w:val="73CB6213"/>
    <w:rsid w:val="73E13BF4"/>
    <w:rsid w:val="73F15500"/>
    <w:rsid w:val="74466A10"/>
    <w:rsid w:val="746641EB"/>
    <w:rsid w:val="755B0018"/>
    <w:rsid w:val="75A924AE"/>
    <w:rsid w:val="76530292"/>
    <w:rsid w:val="767474F7"/>
    <w:rsid w:val="76CD220E"/>
    <w:rsid w:val="771551E9"/>
    <w:rsid w:val="7789E8E8"/>
    <w:rsid w:val="77DE46D3"/>
    <w:rsid w:val="78AF6C78"/>
    <w:rsid w:val="78CB6917"/>
    <w:rsid w:val="79536A6E"/>
    <w:rsid w:val="7976E691"/>
    <w:rsid w:val="7A47517A"/>
    <w:rsid w:val="7B2D1F7C"/>
    <w:rsid w:val="7B707D38"/>
    <w:rsid w:val="7B8C08E9"/>
    <w:rsid w:val="7BCA1B85"/>
    <w:rsid w:val="7BDB36D7"/>
    <w:rsid w:val="7C1608F4"/>
    <w:rsid w:val="7C18286D"/>
    <w:rsid w:val="7CAD2B54"/>
    <w:rsid w:val="7D6B0A62"/>
    <w:rsid w:val="7DFC5693"/>
    <w:rsid w:val="7E2E7A36"/>
    <w:rsid w:val="7E7062A0"/>
    <w:rsid w:val="7F67554A"/>
    <w:rsid w:val="7FC71EF0"/>
    <w:rsid w:val="7FF858C3"/>
    <w:rsid w:val="C6EDB260"/>
    <w:rsid w:val="C7EF01E6"/>
    <w:rsid w:val="DEFE9177"/>
    <w:rsid w:val="F0F7FDFA"/>
    <w:rsid w:val="F77E0C52"/>
    <w:rsid w:val="F87FF75F"/>
    <w:rsid w:val="F9659D83"/>
    <w:rsid w:val="F9BF2E23"/>
    <w:rsid w:val="FD590F3B"/>
    <w:rsid w:val="FFF6F442"/>
    <w:rsid w:val="FFFFAA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240" w:lineRule="auto"/>
      <w:jc w:val="center"/>
      <w:outlineLvl w:val="0"/>
    </w:pPr>
    <w:rPr>
      <w:rFonts w:eastAsia="方正小标宋简体" w:asciiTheme="minorAscii" w:hAnsiTheme="minorAscii"/>
      <w:kern w:val="44"/>
      <w:sz w:val="44"/>
      <w:szCs w:val="22"/>
    </w:rPr>
  </w:style>
  <w:style w:type="paragraph" w:styleId="3">
    <w:name w:val="heading 2"/>
    <w:basedOn w:val="1"/>
    <w:next w:val="1"/>
    <w:autoRedefine/>
    <w:unhideWhenUsed/>
    <w:qFormat/>
    <w:uiPriority w:val="0"/>
    <w:pPr>
      <w:keepNext/>
      <w:keepLines/>
      <w:spacing w:beforeLines="100" w:line="600" w:lineRule="exact"/>
      <w:outlineLvl w:val="1"/>
    </w:pPr>
    <w:rPr>
      <w:rFonts w:ascii="Arial" w:hAnsi="Arial" w:eastAsia="仿宋_GB2312" w:cs="Times New Roman"/>
      <w:sz w:val="32"/>
    </w:rPr>
  </w:style>
  <w:style w:type="character" w:default="1" w:styleId="12">
    <w:name w:val="Default Paragraph Font"/>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firstLineChars="200"/>
    </w:pPr>
    <w:rPr>
      <w:rFonts w:ascii="Times New Roman" w:hAnsi="Times New Roman" w:eastAsia="宋体" w:cs="Times New Roman"/>
    </w:rPr>
  </w:style>
  <w:style w:type="paragraph" w:styleId="5">
    <w:name w:val="Body Text"/>
    <w:basedOn w:val="1"/>
    <w:next w:val="1"/>
    <w:autoRedefine/>
    <w:qFormat/>
    <w:uiPriority w:val="0"/>
    <w:pPr>
      <w:spacing w:after="120"/>
    </w:pPr>
    <w:rPr>
      <w:rFonts w:ascii="Times New Roman" w:hAnsi="Times New Roman"/>
      <w:szCs w:val="24"/>
    </w:rPr>
  </w:style>
  <w:style w:type="paragraph" w:styleId="6">
    <w:name w:val="Plain Text"/>
    <w:basedOn w:val="1"/>
    <w:qFormat/>
    <w:uiPriority w:val="0"/>
    <w:rPr>
      <w:rFonts w:ascii="宋体" w:hAnsi="Courier New" w:cs="Courier New"/>
      <w:sz w:val="32"/>
      <w:szCs w:val="21"/>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autoRedefine/>
    <w:unhideWhenUsed/>
    <w:qFormat/>
    <w:uiPriority w:val="99"/>
    <w:pPr>
      <w:jc w:val="left"/>
    </w:pPr>
    <w:rPr>
      <w:rFonts w:cs="Times New Roman"/>
      <w:kern w:val="0"/>
      <w:sz w:val="24"/>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font11"/>
    <w:basedOn w:val="12"/>
    <w:autoRedefine/>
    <w:qFormat/>
    <w:uiPriority w:val="0"/>
    <w:rPr>
      <w:rFonts w:hint="eastAsia" w:ascii="黑体" w:hAnsi="宋体" w:eastAsia="黑体" w:cs="黑体"/>
      <w:color w:val="000000"/>
      <w:sz w:val="20"/>
      <w:szCs w:val="20"/>
      <w:u w:val="none"/>
    </w:rPr>
  </w:style>
  <w:style w:type="character" w:customStyle="1" w:styleId="14">
    <w:name w:val="font21"/>
    <w:basedOn w:val="12"/>
    <w:autoRedefine/>
    <w:qFormat/>
    <w:uiPriority w:val="0"/>
    <w:rPr>
      <w:rFonts w:hint="eastAsia" w:ascii="黑体" w:hAnsi="宋体" w:eastAsia="黑体" w:cs="黑体"/>
      <w:color w:val="000000"/>
      <w:sz w:val="24"/>
      <w:szCs w:val="24"/>
      <w:u w:val="none"/>
    </w:rPr>
  </w:style>
  <w:style w:type="character" w:customStyle="1" w:styleId="15">
    <w:name w:val="font31"/>
    <w:basedOn w:val="12"/>
    <w:autoRedefine/>
    <w:qFormat/>
    <w:uiPriority w:val="0"/>
    <w:rPr>
      <w:rFonts w:hint="eastAsia" w:ascii="宋体" w:hAnsi="宋体" w:eastAsia="宋体" w:cs="宋体"/>
      <w:color w:val="000000"/>
      <w:sz w:val="20"/>
      <w:szCs w:val="20"/>
      <w:u w:val="none"/>
    </w:rPr>
  </w:style>
  <w:style w:type="character" w:customStyle="1" w:styleId="16">
    <w:name w:val="font41"/>
    <w:basedOn w:val="12"/>
    <w:autoRedefine/>
    <w:qFormat/>
    <w:uiPriority w:val="0"/>
    <w:rPr>
      <w:rFonts w:hint="eastAsia" w:ascii="宋体" w:hAnsi="宋体" w:eastAsia="宋体" w:cs="宋体"/>
      <w:color w:val="000000"/>
      <w:sz w:val="20"/>
      <w:szCs w:val="20"/>
      <w:u w:val="none"/>
    </w:rPr>
  </w:style>
  <w:style w:type="character" w:customStyle="1" w:styleId="17">
    <w:name w:val="font01"/>
    <w:basedOn w:val="12"/>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5851</Words>
  <Characters>6399</Characters>
  <Lines>0</Lines>
  <Paragraphs>0</Paragraphs>
  <TotalTime>11</TotalTime>
  <ScaleCrop>false</ScaleCrop>
  <LinksUpToDate>false</LinksUpToDate>
  <CharactersWithSpaces>6457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2022-12-10T08:13:00Z</dcterms:created>
  <dc:creator>Administrator</dc:creator>
  <cp:lastModifiedBy>嗯</cp:lastModifiedBy>
  <cp:lastPrinted>2025-04-29T07:17:37Z</cp:lastPrinted>
  <dcterms:modified xsi:type="dcterms:W3CDTF">2025-04-29T07:28:35Z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85311823AC524DBBB70592291A8F0EBA</vt:lpwstr>
  </property>
  <property fmtid="{D5CDD505-2E9C-101B-9397-08002B2CF9AE}" pid="4" name="KSOTemplateDocerSaveRecord">
    <vt:lpwstr>eyJoZGlkIjoiMzg5ODcwOGY0ZGM3ZWI5MjFmNTQ1OWRmMTU4ZDM1NjQiLCJ1c2VySWQiOiIyMDc1ODE0ODYifQ==</vt:lpwstr>
  </property>
</Properties>
</file>