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17AD1">
      <w:pPr>
        <w:keepNext w:val="0"/>
        <w:keepLines w:val="0"/>
        <w:pageBreakBefore w:val="0"/>
        <w:widowControl w:val="0"/>
        <w:kinsoku/>
        <w:wordWrap/>
        <w:overflowPunct/>
        <w:topLinePunct w:val="0"/>
        <w:autoSpaceDE/>
        <w:autoSpaceDN w:val="0"/>
        <w:bidi w:val="0"/>
        <w:adjustRightInd w:val="0"/>
        <w:snapToGrid w:val="0"/>
        <w:spacing w:line="600" w:lineRule="exact"/>
        <w:jc w:val="center"/>
        <w:textAlignment w:val="auto"/>
        <w:rPr>
          <w:rFonts w:hint="eastAsia" w:ascii="Times New Roman" w:hAnsi="Times New Roman" w:eastAsia="方正小标宋简体"/>
          <w:sz w:val="44"/>
          <w:szCs w:val="44"/>
        </w:rPr>
      </w:pPr>
    </w:p>
    <w:p w14:paraId="4B89013D">
      <w:pPr>
        <w:keepNext w:val="0"/>
        <w:keepLines w:val="0"/>
        <w:pageBreakBefore w:val="0"/>
        <w:widowControl w:val="0"/>
        <w:kinsoku/>
        <w:wordWrap/>
        <w:overflowPunct/>
        <w:topLinePunct w:val="0"/>
        <w:autoSpaceDE/>
        <w:autoSpaceDN w:val="0"/>
        <w:bidi w:val="0"/>
        <w:adjustRightInd w:val="0"/>
        <w:snapToGrid w:val="0"/>
        <w:spacing w:line="600" w:lineRule="exact"/>
        <w:jc w:val="center"/>
        <w:textAlignment w:val="auto"/>
        <w:rPr>
          <w:rFonts w:hint="eastAsia" w:ascii="Times New Roman" w:hAnsi="Times New Roman" w:eastAsia="方正小标宋简体"/>
          <w:sz w:val="44"/>
          <w:szCs w:val="44"/>
        </w:rPr>
      </w:pPr>
    </w:p>
    <w:p w14:paraId="1407B5DE">
      <w:pPr>
        <w:keepNext w:val="0"/>
        <w:keepLines w:val="0"/>
        <w:pageBreakBefore w:val="0"/>
        <w:widowControl w:val="0"/>
        <w:kinsoku/>
        <w:wordWrap/>
        <w:overflowPunct/>
        <w:topLinePunct w:val="0"/>
        <w:autoSpaceDE/>
        <w:autoSpaceDN w:val="0"/>
        <w:bidi w:val="0"/>
        <w:adjustRightInd w:val="0"/>
        <w:snapToGrid w:val="0"/>
        <w:spacing w:line="600" w:lineRule="exact"/>
        <w:jc w:val="center"/>
        <w:textAlignment w:val="auto"/>
        <w:rPr>
          <w:rFonts w:hint="eastAsia" w:ascii="Times New Roman" w:hAnsi="Times New Roman" w:eastAsia="方正小标宋简体"/>
          <w:sz w:val="44"/>
          <w:szCs w:val="44"/>
        </w:rPr>
      </w:pPr>
    </w:p>
    <w:p w14:paraId="7F243EDE">
      <w:pPr>
        <w:keepNext w:val="0"/>
        <w:keepLines w:val="0"/>
        <w:pageBreakBefore w:val="0"/>
        <w:kinsoku/>
        <w:overflowPunct/>
        <w:topLinePunct w:val="0"/>
        <w:autoSpaceDE/>
        <w:autoSpaceDN w:val="0"/>
        <w:bidi w:val="0"/>
        <w:adjustRightInd w:val="0"/>
        <w:snapToGrid w:val="0"/>
        <w:spacing w:line="560" w:lineRule="exact"/>
        <w:jc w:val="center"/>
        <w:rPr>
          <w:rFonts w:hint="eastAsia" w:ascii="Times New Roman" w:hAnsi="Times New Roman" w:eastAsia="方正小标宋简体"/>
          <w:sz w:val="44"/>
          <w:szCs w:val="44"/>
          <w:lang w:val="en-US" w:eastAsia="zh-CN"/>
        </w:rPr>
      </w:pPr>
      <w:r>
        <w:rPr>
          <w:rFonts w:hint="eastAsia" w:ascii="Times New Roman" w:hAnsi="Times New Roman" w:eastAsia="方正小标宋简体"/>
          <w:sz w:val="44"/>
          <w:szCs w:val="44"/>
        </w:rPr>
        <w:t>关于</w:t>
      </w:r>
      <w:r>
        <w:rPr>
          <w:rFonts w:hint="eastAsia" w:ascii="Times New Roman" w:hAnsi="Times New Roman" w:eastAsia="方正小标宋简体"/>
          <w:sz w:val="44"/>
          <w:szCs w:val="44"/>
          <w:lang w:val="en-US" w:eastAsia="zh-CN"/>
        </w:rPr>
        <w:t>公布临床量表评估类、中医针法类和</w:t>
      </w:r>
    </w:p>
    <w:p w14:paraId="12D8D739">
      <w:pPr>
        <w:keepNext w:val="0"/>
        <w:keepLines w:val="0"/>
        <w:pageBreakBefore w:val="0"/>
        <w:kinsoku/>
        <w:overflowPunct/>
        <w:topLinePunct w:val="0"/>
        <w:autoSpaceDE/>
        <w:autoSpaceDN w:val="0"/>
        <w:bidi w:val="0"/>
        <w:adjustRightInd w:val="0"/>
        <w:snapToGrid w:val="0"/>
        <w:spacing w:line="560" w:lineRule="exact"/>
        <w:jc w:val="center"/>
        <w:rPr>
          <w:rFonts w:hint="eastAsia" w:ascii="Times New Roman" w:hAnsi="Times New Roman" w:eastAsia="方正小标宋简体"/>
          <w:sz w:val="44"/>
          <w:szCs w:val="44"/>
          <w:lang w:val="en-US" w:eastAsia="zh-CN"/>
        </w:rPr>
      </w:pPr>
      <w:r>
        <w:rPr>
          <w:rFonts w:hint="eastAsia" w:ascii="Times New Roman" w:hAnsi="Times New Roman" w:eastAsia="方正小标宋简体"/>
          <w:sz w:val="44"/>
          <w:szCs w:val="44"/>
          <w:lang w:val="en-US" w:eastAsia="zh-CN"/>
        </w:rPr>
        <w:t>中医外治类医疗服务项目价格</w:t>
      </w:r>
    </w:p>
    <w:p w14:paraId="697B2AA1">
      <w:pPr>
        <w:keepNext w:val="0"/>
        <w:keepLines w:val="0"/>
        <w:pageBreakBefore w:val="0"/>
        <w:kinsoku/>
        <w:overflowPunct/>
        <w:topLinePunct w:val="0"/>
        <w:autoSpaceDE/>
        <w:autoSpaceDN w:val="0"/>
        <w:bidi w:val="0"/>
        <w:adjustRightInd w:val="0"/>
        <w:snapToGrid w:val="0"/>
        <w:spacing w:line="560" w:lineRule="exact"/>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lang w:val="en-US" w:eastAsia="zh-CN"/>
        </w:rPr>
        <w:t>有关事项</w:t>
      </w:r>
      <w:r>
        <w:rPr>
          <w:rFonts w:hint="eastAsia" w:ascii="Times New Roman" w:hAnsi="Times New Roman" w:eastAsia="方正小标宋简体"/>
          <w:sz w:val="44"/>
          <w:szCs w:val="44"/>
        </w:rPr>
        <w:t>的通知</w:t>
      </w:r>
    </w:p>
    <w:p w14:paraId="0A781423">
      <w:pPr>
        <w:pStyle w:val="4"/>
        <w:keepNext w:val="0"/>
        <w:keepLines w:val="0"/>
        <w:pageBreakBefore w:val="0"/>
        <w:kinsoku/>
        <w:overflowPunct/>
        <w:topLinePunct w:val="0"/>
        <w:autoSpaceDE/>
        <w:bidi w:val="0"/>
        <w:spacing w:line="560" w:lineRule="exact"/>
        <w:ind w:left="0" w:leftChars="0" w:firstLine="0" w:firstLineChars="0"/>
        <w:jc w:val="center"/>
        <w:rPr>
          <w:rFonts w:hint="eastAsia" w:ascii="楷体_GB2312" w:hAnsi="楷体_GB2312" w:eastAsia="楷体_GB2312" w:cs="楷体_GB2312"/>
          <w:sz w:val="32"/>
          <w:szCs w:val="32"/>
          <w:lang w:eastAsia="zh-CN"/>
        </w:rPr>
      </w:pPr>
    </w:p>
    <w:p w14:paraId="5118168B">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ascii="宋体" w:hAnsi="宋体" w:eastAsia="仿宋_GB2312" w:cs="仿宋_GB2312"/>
          <w:sz w:val="32"/>
          <w:szCs w:val="32"/>
        </w:rPr>
      </w:pPr>
      <w:r>
        <w:rPr>
          <w:rFonts w:hint="eastAsia" w:ascii="宋体" w:hAnsi="宋体" w:eastAsia="仿宋_GB2312" w:cs="仿宋_GB2312"/>
          <w:color w:val="auto"/>
          <w:spacing w:val="0"/>
          <w:w w:val="100"/>
          <w:sz w:val="32"/>
          <w:szCs w:val="32"/>
          <w:lang w:val="en-US" w:eastAsia="zh-CN"/>
        </w:rPr>
        <w:t>各分局，市直（驻市）医疗机构</w:t>
      </w:r>
      <w:r>
        <w:rPr>
          <w:rFonts w:hint="eastAsia" w:ascii="宋体" w:hAnsi="宋体" w:eastAsia="仿宋_GB2312" w:cs="仿宋_GB2312"/>
          <w:color w:val="auto"/>
          <w:spacing w:val="0"/>
          <w:w w:val="100"/>
          <w:sz w:val="32"/>
          <w:szCs w:val="32"/>
          <w:lang w:eastAsia="zh-CN"/>
        </w:rPr>
        <w:t>：</w:t>
      </w:r>
    </w:p>
    <w:p w14:paraId="5E4415A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ascii="宋体" w:hAnsi="宋体" w:eastAsia="仿宋_GB2312" w:cs="仿宋_GB2312"/>
          <w:sz w:val="32"/>
          <w:szCs w:val="32"/>
          <w:lang w:eastAsia="zh-CN"/>
        </w:rPr>
      </w:pPr>
      <w:r>
        <w:rPr>
          <w:rFonts w:hint="eastAsia" w:ascii="宋体" w:hAnsi="宋体" w:eastAsia="仿宋_GB2312" w:cs="仿宋_GB2312"/>
          <w:sz w:val="32"/>
          <w:szCs w:val="32"/>
          <w:lang w:val="en-US" w:eastAsia="zh-CN"/>
        </w:rPr>
        <w:t>根据《江西省医疗保障局关于规范整合临床量表评估类、中医针法类和中医外治类等医疗服务价格项目的通知》（赣医保字〔2025〕4号）精神，我市参照在昌省直医院价格制定了全市临床量表评估类、中医针法类和中医外治类医疗服务项目价格，现就</w:t>
      </w:r>
      <w:r>
        <w:rPr>
          <w:rFonts w:hint="eastAsia" w:ascii="宋体" w:hAnsi="宋体" w:eastAsia="仿宋_GB2312" w:cs="仿宋_GB2312"/>
          <w:sz w:val="32"/>
          <w:szCs w:val="32"/>
        </w:rPr>
        <w:t>有关事项通知如下</w:t>
      </w:r>
      <w:r>
        <w:rPr>
          <w:rFonts w:hint="eastAsia" w:ascii="宋体" w:hAnsi="宋体" w:eastAsia="仿宋_GB2312" w:cs="仿宋_GB2312"/>
          <w:sz w:val="32"/>
          <w:szCs w:val="32"/>
          <w:lang w:eastAsia="zh-CN"/>
        </w:rPr>
        <w:t>。</w:t>
      </w:r>
    </w:p>
    <w:p w14:paraId="385F1F2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一、</w:t>
      </w:r>
      <w:r>
        <w:rPr>
          <w:rFonts w:hint="eastAsia" w:ascii="宋体" w:hAnsi="宋体" w:eastAsia="仿宋_GB2312" w:cs="仿宋_GB2312"/>
          <w:color w:val="auto"/>
          <w:w w:val="100"/>
          <w:sz w:val="32"/>
          <w:szCs w:val="32"/>
          <w:lang w:val="zh-CN"/>
        </w:rPr>
        <w:t>规范整合后，设立</w:t>
      </w:r>
      <w:r>
        <w:rPr>
          <w:rFonts w:hint="eastAsia" w:ascii="宋体" w:hAnsi="宋体" w:eastAsia="仿宋_GB2312" w:cs="仿宋_GB2312"/>
          <w:color w:val="auto"/>
          <w:w w:val="100"/>
          <w:sz w:val="32"/>
          <w:szCs w:val="32"/>
          <w:lang w:val="en-US" w:eastAsia="zh-CN"/>
        </w:rPr>
        <w:t>2</w:t>
      </w:r>
      <w:r>
        <w:rPr>
          <w:rFonts w:hint="eastAsia" w:ascii="宋体" w:hAnsi="宋体" w:eastAsia="仿宋_GB2312" w:cs="仿宋_GB2312"/>
          <w:color w:val="auto"/>
          <w:w w:val="100"/>
          <w:sz w:val="32"/>
          <w:szCs w:val="32"/>
          <w:lang w:val="zh-CN"/>
        </w:rPr>
        <w:t>个临床量表评估类医疗服务价格项目（</w:t>
      </w:r>
      <w:r>
        <w:rPr>
          <w:rFonts w:hint="eastAsia" w:ascii="宋体" w:hAnsi="宋体" w:eastAsia="仿宋_GB2312" w:cs="仿宋_GB2312"/>
          <w:color w:val="auto"/>
          <w:w w:val="100"/>
          <w:sz w:val="32"/>
          <w:szCs w:val="32"/>
          <w:lang w:eastAsia="zh-CN"/>
        </w:rPr>
        <w:t>项目编码</w:t>
      </w:r>
      <w:r>
        <w:rPr>
          <w:rFonts w:hint="eastAsia" w:ascii="宋体" w:hAnsi="宋体" w:eastAsia="仿宋_GB2312" w:cs="仿宋_GB2312"/>
          <w:color w:val="auto"/>
          <w:w w:val="100"/>
          <w:sz w:val="32"/>
          <w:szCs w:val="32"/>
          <w:lang w:val="en-US" w:eastAsia="zh-CN"/>
        </w:rPr>
        <w:t>11条</w:t>
      </w:r>
      <w:r>
        <w:rPr>
          <w:rFonts w:hint="eastAsia" w:ascii="宋体" w:hAnsi="宋体" w:eastAsia="仿宋_GB2312" w:cs="仿宋_GB2312"/>
          <w:color w:val="auto"/>
          <w:w w:val="100"/>
          <w:sz w:val="32"/>
          <w:szCs w:val="32"/>
          <w:lang w:val="zh-CN"/>
        </w:rPr>
        <w:t>），同时废止现行</w:t>
      </w:r>
      <w:r>
        <w:rPr>
          <w:rFonts w:hint="eastAsia" w:ascii="宋体" w:hAnsi="宋体" w:eastAsia="仿宋_GB2312" w:cs="仿宋_GB2312"/>
          <w:color w:val="auto"/>
          <w:w w:val="100"/>
          <w:sz w:val="32"/>
          <w:szCs w:val="32"/>
          <w:lang w:val="en-US" w:eastAsia="zh-CN"/>
        </w:rPr>
        <w:t>22</w:t>
      </w:r>
      <w:r>
        <w:rPr>
          <w:rFonts w:hint="eastAsia" w:ascii="宋体" w:hAnsi="宋体" w:eastAsia="仿宋_GB2312" w:cs="仿宋_GB2312"/>
          <w:color w:val="auto"/>
          <w:w w:val="100"/>
          <w:sz w:val="32"/>
          <w:szCs w:val="32"/>
          <w:lang w:val="zh-CN"/>
        </w:rPr>
        <w:t>个临床量表评估类医疗服务价格项目</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w w:val="100"/>
          <w:sz w:val="32"/>
          <w:szCs w:val="32"/>
          <w:lang w:val="zh-CN"/>
        </w:rPr>
        <w:t>设立</w:t>
      </w:r>
      <w:r>
        <w:rPr>
          <w:rFonts w:hint="eastAsia" w:ascii="宋体" w:hAnsi="宋体" w:eastAsia="仿宋_GB2312" w:cs="仿宋_GB2312"/>
          <w:color w:val="auto"/>
          <w:w w:val="100"/>
          <w:sz w:val="32"/>
          <w:szCs w:val="32"/>
          <w:lang w:val="en-US" w:eastAsia="zh-CN"/>
        </w:rPr>
        <w:t>10</w:t>
      </w:r>
      <w:r>
        <w:rPr>
          <w:rFonts w:hint="eastAsia" w:ascii="宋体" w:hAnsi="宋体" w:eastAsia="仿宋_GB2312" w:cs="仿宋_GB2312"/>
          <w:color w:val="auto"/>
          <w:w w:val="100"/>
          <w:sz w:val="32"/>
          <w:szCs w:val="32"/>
          <w:lang w:val="zh-CN"/>
        </w:rPr>
        <w:t>个中医针法类</w:t>
      </w:r>
      <w:r>
        <w:rPr>
          <w:rFonts w:hint="eastAsia" w:ascii="宋体" w:hAnsi="宋体" w:eastAsia="仿宋_GB2312" w:cs="仿宋_GB2312"/>
          <w:color w:val="auto"/>
          <w:w w:val="100"/>
          <w:sz w:val="32"/>
          <w:szCs w:val="32"/>
        </w:rPr>
        <w:t>医疗服务价格项目</w:t>
      </w:r>
      <w:r>
        <w:rPr>
          <w:rFonts w:hint="eastAsia" w:ascii="宋体" w:hAnsi="宋体" w:eastAsia="仿宋_GB2312" w:cs="仿宋_GB2312"/>
          <w:color w:val="auto"/>
          <w:w w:val="100"/>
          <w:sz w:val="32"/>
          <w:szCs w:val="32"/>
          <w:lang w:val="zh-CN"/>
        </w:rPr>
        <w:t>（</w:t>
      </w:r>
      <w:r>
        <w:rPr>
          <w:rFonts w:hint="eastAsia" w:ascii="宋体" w:hAnsi="宋体" w:eastAsia="仿宋_GB2312" w:cs="仿宋_GB2312"/>
          <w:color w:val="auto"/>
          <w:w w:val="100"/>
          <w:sz w:val="32"/>
          <w:szCs w:val="32"/>
          <w:lang w:eastAsia="zh-CN"/>
        </w:rPr>
        <w:t>项目编码</w:t>
      </w:r>
      <w:r>
        <w:rPr>
          <w:rFonts w:hint="eastAsia" w:ascii="宋体" w:hAnsi="宋体" w:eastAsia="仿宋_GB2312" w:cs="仿宋_GB2312"/>
          <w:color w:val="auto"/>
          <w:w w:val="100"/>
          <w:sz w:val="32"/>
          <w:szCs w:val="32"/>
          <w:lang w:val="en-US" w:eastAsia="zh-CN"/>
        </w:rPr>
        <w:t>31条</w:t>
      </w:r>
      <w:r>
        <w:rPr>
          <w:rFonts w:hint="eastAsia" w:ascii="宋体" w:hAnsi="宋体" w:eastAsia="仿宋_GB2312" w:cs="仿宋_GB2312"/>
          <w:color w:val="auto"/>
          <w:w w:val="100"/>
          <w:sz w:val="32"/>
          <w:szCs w:val="32"/>
          <w:lang w:val="zh-CN"/>
        </w:rPr>
        <w:t>）</w:t>
      </w:r>
      <w:r>
        <w:rPr>
          <w:rFonts w:hint="eastAsia" w:ascii="宋体" w:hAnsi="宋体" w:eastAsia="仿宋_GB2312" w:cs="仿宋_GB2312"/>
          <w:color w:val="auto"/>
          <w:w w:val="100"/>
          <w:sz w:val="32"/>
          <w:szCs w:val="32"/>
          <w:lang w:eastAsia="zh-CN"/>
        </w:rPr>
        <w:t>，同时</w:t>
      </w:r>
      <w:r>
        <w:rPr>
          <w:rFonts w:hint="eastAsia" w:ascii="宋体" w:hAnsi="宋体" w:eastAsia="仿宋_GB2312" w:cs="仿宋_GB2312"/>
          <w:color w:val="auto"/>
          <w:w w:val="100"/>
          <w:sz w:val="32"/>
          <w:szCs w:val="32"/>
        </w:rPr>
        <w:t>废止现行</w:t>
      </w:r>
      <w:r>
        <w:rPr>
          <w:rFonts w:hint="eastAsia" w:ascii="宋体" w:hAnsi="宋体" w:eastAsia="仿宋_GB2312" w:cs="仿宋_GB2312"/>
          <w:color w:val="auto"/>
          <w:w w:val="100"/>
          <w:sz w:val="32"/>
          <w:szCs w:val="32"/>
          <w:lang w:val="en-US" w:eastAsia="zh-CN"/>
        </w:rPr>
        <w:t>29</w:t>
      </w:r>
      <w:r>
        <w:rPr>
          <w:rFonts w:hint="eastAsia" w:ascii="宋体" w:hAnsi="宋体" w:eastAsia="仿宋_GB2312" w:cs="仿宋_GB2312"/>
          <w:color w:val="auto"/>
          <w:w w:val="100"/>
          <w:sz w:val="32"/>
          <w:szCs w:val="32"/>
        </w:rPr>
        <w:t>个</w:t>
      </w:r>
      <w:r>
        <w:rPr>
          <w:rFonts w:hint="eastAsia" w:ascii="宋体" w:hAnsi="宋体" w:eastAsia="仿宋_GB2312" w:cs="仿宋_GB2312"/>
          <w:color w:val="auto"/>
          <w:w w:val="100"/>
          <w:sz w:val="32"/>
          <w:szCs w:val="32"/>
          <w:lang w:val="en-US" w:eastAsia="zh-CN"/>
        </w:rPr>
        <w:t>中医针法</w:t>
      </w:r>
      <w:r>
        <w:rPr>
          <w:rFonts w:hint="eastAsia" w:ascii="宋体" w:hAnsi="宋体" w:eastAsia="仿宋_GB2312" w:cs="仿宋_GB2312"/>
          <w:color w:val="auto"/>
          <w:w w:val="100"/>
          <w:sz w:val="32"/>
          <w:szCs w:val="32"/>
        </w:rPr>
        <w:t>类医疗服务价格项目</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w w:val="100"/>
          <w:sz w:val="32"/>
          <w:szCs w:val="32"/>
          <w:lang w:val="zh-CN"/>
        </w:rPr>
        <w:t>设立</w:t>
      </w:r>
      <w:r>
        <w:rPr>
          <w:rFonts w:hint="eastAsia" w:ascii="宋体" w:hAnsi="宋体" w:eastAsia="仿宋_GB2312" w:cs="仿宋_GB2312"/>
          <w:color w:val="auto"/>
          <w:w w:val="100"/>
          <w:sz w:val="32"/>
          <w:szCs w:val="32"/>
          <w:lang w:val="en-US" w:eastAsia="zh-CN"/>
        </w:rPr>
        <w:t>18</w:t>
      </w:r>
      <w:r>
        <w:rPr>
          <w:rFonts w:hint="eastAsia" w:ascii="宋体" w:hAnsi="宋体" w:eastAsia="仿宋_GB2312" w:cs="仿宋_GB2312"/>
          <w:color w:val="auto"/>
          <w:w w:val="100"/>
          <w:sz w:val="32"/>
          <w:szCs w:val="32"/>
          <w:lang w:val="zh-CN"/>
        </w:rPr>
        <w:t>个中医外治类</w:t>
      </w:r>
      <w:r>
        <w:rPr>
          <w:rFonts w:hint="eastAsia" w:ascii="宋体" w:hAnsi="宋体" w:eastAsia="仿宋_GB2312" w:cs="仿宋_GB2312"/>
          <w:color w:val="auto"/>
          <w:w w:val="100"/>
          <w:sz w:val="32"/>
          <w:szCs w:val="32"/>
        </w:rPr>
        <w:t>医疗服务价格项目</w:t>
      </w:r>
      <w:r>
        <w:rPr>
          <w:rFonts w:hint="eastAsia" w:ascii="宋体" w:hAnsi="宋体" w:eastAsia="仿宋_GB2312" w:cs="仿宋_GB2312"/>
          <w:color w:val="auto"/>
          <w:w w:val="100"/>
          <w:sz w:val="32"/>
          <w:szCs w:val="32"/>
          <w:lang w:val="zh-CN"/>
        </w:rPr>
        <w:t>（</w:t>
      </w:r>
      <w:r>
        <w:rPr>
          <w:rFonts w:hint="eastAsia" w:ascii="宋体" w:hAnsi="宋体" w:eastAsia="仿宋_GB2312" w:cs="仿宋_GB2312"/>
          <w:color w:val="auto"/>
          <w:w w:val="100"/>
          <w:sz w:val="32"/>
          <w:szCs w:val="32"/>
          <w:lang w:eastAsia="zh-CN"/>
        </w:rPr>
        <w:t>项目编码</w:t>
      </w:r>
      <w:r>
        <w:rPr>
          <w:rFonts w:hint="eastAsia" w:ascii="宋体" w:hAnsi="宋体" w:eastAsia="仿宋_GB2312" w:cs="仿宋_GB2312"/>
          <w:color w:val="auto"/>
          <w:w w:val="100"/>
          <w:sz w:val="32"/>
          <w:szCs w:val="32"/>
          <w:lang w:val="en-US" w:eastAsia="zh-CN"/>
        </w:rPr>
        <w:t>49条</w:t>
      </w:r>
      <w:r>
        <w:rPr>
          <w:rFonts w:hint="eastAsia" w:ascii="宋体" w:hAnsi="宋体" w:eastAsia="仿宋_GB2312" w:cs="仿宋_GB2312"/>
          <w:color w:val="auto"/>
          <w:w w:val="100"/>
          <w:sz w:val="32"/>
          <w:szCs w:val="32"/>
          <w:lang w:val="zh-CN"/>
        </w:rPr>
        <w:t>）</w:t>
      </w:r>
      <w:r>
        <w:rPr>
          <w:rFonts w:hint="eastAsia" w:ascii="宋体" w:hAnsi="宋体" w:eastAsia="仿宋_GB2312" w:cs="仿宋_GB2312"/>
          <w:color w:val="auto"/>
          <w:w w:val="100"/>
          <w:sz w:val="32"/>
          <w:szCs w:val="32"/>
          <w:lang w:eastAsia="zh-CN"/>
        </w:rPr>
        <w:t>，同时</w:t>
      </w:r>
      <w:r>
        <w:rPr>
          <w:rFonts w:hint="eastAsia" w:ascii="宋体" w:hAnsi="宋体" w:eastAsia="仿宋_GB2312" w:cs="仿宋_GB2312"/>
          <w:color w:val="auto"/>
          <w:w w:val="100"/>
          <w:sz w:val="32"/>
          <w:szCs w:val="32"/>
        </w:rPr>
        <w:t>废止现行</w:t>
      </w:r>
      <w:r>
        <w:rPr>
          <w:rFonts w:hint="eastAsia" w:ascii="宋体" w:hAnsi="宋体" w:eastAsia="仿宋_GB2312" w:cs="仿宋_GB2312"/>
          <w:color w:val="auto"/>
          <w:w w:val="100"/>
          <w:sz w:val="32"/>
          <w:szCs w:val="32"/>
          <w:lang w:val="en-US" w:eastAsia="zh-CN"/>
        </w:rPr>
        <w:t>27</w:t>
      </w:r>
      <w:r>
        <w:rPr>
          <w:rFonts w:hint="eastAsia" w:ascii="宋体" w:hAnsi="宋体" w:eastAsia="仿宋_GB2312" w:cs="仿宋_GB2312"/>
          <w:color w:val="auto"/>
          <w:w w:val="100"/>
          <w:sz w:val="32"/>
          <w:szCs w:val="32"/>
        </w:rPr>
        <w:t>个</w:t>
      </w:r>
      <w:r>
        <w:rPr>
          <w:rFonts w:hint="eastAsia" w:ascii="宋体" w:hAnsi="宋体" w:eastAsia="仿宋_GB2312" w:cs="仿宋_GB2312"/>
          <w:color w:val="auto"/>
          <w:w w:val="100"/>
          <w:sz w:val="32"/>
          <w:szCs w:val="32"/>
          <w:lang w:val="en-US" w:eastAsia="zh-CN"/>
        </w:rPr>
        <w:t>中医</w:t>
      </w:r>
      <w:r>
        <w:rPr>
          <w:rFonts w:hint="eastAsia" w:ascii="宋体" w:hAnsi="宋体" w:eastAsia="仿宋_GB2312" w:cs="仿宋_GB2312"/>
          <w:color w:val="auto"/>
          <w:w w:val="100"/>
          <w:sz w:val="32"/>
          <w:szCs w:val="32"/>
          <w:lang w:val="zh-CN"/>
        </w:rPr>
        <w:t>外治</w:t>
      </w:r>
      <w:r>
        <w:rPr>
          <w:rFonts w:hint="eastAsia" w:ascii="宋体" w:hAnsi="宋体" w:eastAsia="仿宋_GB2312" w:cs="仿宋_GB2312"/>
          <w:color w:val="auto"/>
          <w:w w:val="100"/>
          <w:sz w:val="32"/>
          <w:szCs w:val="32"/>
        </w:rPr>
        <w:t>类医疗服务价格项目</w:t>
      </w:r>
      <w:r>
        <w:rPr>
          <w:rFonts w:hint="eastAsia" w:ascii="宋体" w:hAnsi="宋体" w:eastAsia="仿宋_GB2312" w:cs="仿宋_GB2312"/>
          <w:color w:val="auto"/>
          <w:w w:val="100"/>
          <w:sz w:val="32"/>
          <w:szCs w:val="32"/>
          <w:lang w:eastAsia="zh-CN"/>
        </w:rPr>
        <w:t>；设立航空医疗转运医疗服务价格项目</w:t>
      </w:r>
      <w:r>
        <w:rPr>
          <w:rFonts w:hint="eastAsia" w:ascii="宋体" w:hAnsi="宋体" w:eastAsia="仿宋_GB2312" w:cs="仿宋_GB2312"/>
          <w:color w:val="auto"/>
          <w:w w:val="100"/>
          <w:sz w:val="32"/>
          <w:szCs w:val="32"/>
          <w:lang w:val="zh-CN"/>
        </w:rPr>
        <w:t>（</w:t>
      </w:r>
      <w:r>
        <w:rPr>
          <w:rFonts w:hint="eastAsia" w:ascii="宋体" w:hAnsi="宋体" w:eastAsia="仿宋_GB2312" w:cs="仿宋_GB2312"/>
          <w:color w:val="auto"/>
          <w:w w:val="100"/>
          <w:sz w:val="32"/>
          <w:szCs w:val="32"/>
          <w:lang w:eastAsia="zh-CN"/>
        </w:rPr>
        <w:t>项目编码</w:t>
      </w:r>
      <w:r>
        <w:rPr>
          <w:rFonts w:hint="eastAsia" w:ascii="宋体" w:hAnsi="宋体" w:eastAsia="仿宋_GB2312" w:cs="仿宋_GB2312"/>
          <w:color w:val="auto"/>
          <w:w w:val="100"/>
          <w:sz w:val="32"/>
          <w:szCs w:val="32"/>
          <w:lang w:val="en-US" w:eastAsia="zh-CN"/>
        </w:rPr>
        <w:t>1条</w:t>
      </w:r>
      <w:r>
        <w:rPr>
          <w:rFonts w:hint="eastAsia" w:ascii="宋体" w:hAnsi="宋体" w:eastAsia="仿宋_GB2312" w:cs="仿宋_GB2312"/>
          <w:color w:val="auto"/>
          <w:w w:val="100"/>
          <w:sz w:val="32"/>
          <w:szCs w:val="32"/>
          <w:lang w:val="zh-CN"/>
        </w:rPr>
        <w:t>）</w:t>
      </w:r>
      <w:r>
        <w:rPr>
          <w:rFonts w:hint="eastAsia" w:ascii="宋体" w:hAnsi="宋体" w:eastAsia="仿宋_GB2312" w:cs="仿宋_GB2312"/>
          <w:color w:val="auto"/>
          <w:w w:val="100"/>
          <w:sz w:val="32"/>
          <w:szCs w:val="32"/>
          <w:lang w:eastAsia="zh-CN"/>
        </w:rPr>
        <w:t>。相关</w:t>
      </w:r>
      <w:r>
        <w:rPr>
          <w:rFonts w:hint="eastAsia" w:ascii="宋体" w:hAnsi="宋体" w:eastAsia="仿宋_GB2312" w:cs="仿宋_GB2312"/>
          <w:color w:val="auto"/>
          <w:w w:val="100"/>
          <w:sz w:val="32"/>
          <w:szCs w:val="32"/>
          <w:lang w:val="zh-CN"/>
        </w:rPr>
        <w:t>项目及价格见附件，所标注价格为</w:t>
      </w:r>
      <w:r>
        <w:rPr>
          <w:rFonts w:hint="eastAsia" w:ascii="宋体" w:hAnsi="宋体" w:eastAsia="仿宋_GB2312" w:cs="仿宋_GB2312"/>
          <w:color w:val="auto"/>
          <w:w w:val="100"/>
          <w:sz w:val="32"/>
          <w:szCs w:val="32"/>
          <w:lang w:val="en-US" w:eastAsia="zh-CN"/>
        </w:rPr>
        <w:t>我市各级</w:t>
      </w:r>
      <w:r>
        <w:rPr>
          <w:rFonts w:hint="eastAsia" w:ascii="宋体" w:hAnsi="宋体" w:eastAsia="仿宋_GB2312" w:cs="仿宋_GB2312"/>
          <w:color w:val="auto"/>
          <w:w w:val="100"/>
          <w:sz w:val="32"/>
          <w:szCs w:val="32"/>
          <w:lang w:val="zh-CN"/>
        </w:rPr>
        <w:t>公立医院最高政</w:t>
      </w:r>
      <w:r>
        <w:rPr>
          <w:rFonts w:hint="eastAsia" w:ascii="宋体" w:hAnsi="宋体" w:eastAsia="仿宋_GB2312" w:cs="仿宋_GB2312"/>
          <w:color w:val="auto"/>
          <w:w w:val="100"/>
          <w:sz w:val="32"/>
          <w:szCs w:val="32"/>
        </w:rPr>
        <w:t>府指导价</w:t>
      </w:r>
      <w:r>
        <w:rPr>
          <w:rFonts w:hint="eastAsia" w:ascii="宋体" w:hAnsi="宋体" w:eastAsia="仿宋_GB2312" w:cs="仿宋_GB2312"/>
          <w:sz w:val="32"/>
          <w:szCs w:val="32"/>
          <w:lang w:val="en-US" w:eastAsia="zh-CN"/>
        </w:rPr>
        <w:t>。</w:t>
      </w:r>
    </w:p>
    <w:p w14:paraId="0D47D28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仿宋_GB2312" w:cs="仿宋_GB2312"/>
          <w:color w:val="auto"/>
          <w:w w:val="100"/>
          <w:kern w:val="0"/>
          <w:sz w:val="32"/>
          <w:szCs w:val="32"/>
        </w:rPr>
      </w:pPr>
      <w:r>
        <w:rPr>
          <w:rFonts w:hint="eastAsia" w:ascii="宋体" w:hAnsi="宋体" w:eastAsia="仿宋_GB2312" w:cs="仿宋_GB2312"/>
          <w:color w:val="auto"/>
          <w:w w:val="100"/>
          <w:sz w:val="32"/>
          <w:szCs w:val="32"/>
          <w:lang w:eastAsia="zh-CN"/>
        </w:rPr>
        <w:t>二、</w:t>
      </w:r>
      <w:r>
        <w:rPr>
          <w:rFonts w:hint="eastAsia" w:ascii="宋体" w:hAnsi="宋体" w:eastAsia="仿宋_GB2312" w:cs="仿宋_GB2312"/>
          <w:color w:val="auto"/>
          <w:w w:val="100"/>
          <w:kern w:val="0"/>
          <w:sz w:val="32"/>
          <w:szCs w:val="32"/>
        </w:rPr>
        <w:t>各</w:t>
      </w:r>
      <w:r>
        <w:rPr>
          <w:rFonts w:hint="eastAsia" w:ascii="宋体" w:hAnsi="宋体" w:eastAsia="仿宋_GB2312" w:cs="仿宋_GB2312"/>
          <w:color w:val="auto"/>
          <w:w w:val="100"/>
          <w:kern w:val="0"/>
          <w:sz w:val="32"/>
          <w:szCs w:val="32"/>
          <w:lang w:val="en-US" w:eastAsia="zh-CN"/>
        </w:rPr>
        <w:t>分局</w:t>
      </w:r>
      <w:r>
        <w:rPr>
          <w:rFonts w:hint="eastAsia" w:ascii="宋体" w:hAnsi="宋体" w:eastAsia="仿宋_GB2312" w:cs="仿宋_GB2312"/>
          <w:color w:val="auto"/>
          <w:w w:val="100"/>
          <w:kern w:val="0"/>
          <w:sz w:val="32"/>
          <w:szCs w:val="32"/>
        </w:rPr>
        <w:t>要统一思想，提高认识</w:t>
      </w:r>
      <w:r>
        <w:rPr>
          <w:rFonts w:hint="eastAsia" w:ascii="宋体" w:hAnsi="宋体" w:eastAsia="仿宋_GB2312" w:cs="仿宋_GB2312"/>
          <w:color w:val="auto"/>
          <w:w w:val="100"/>
          <w:kern w:val="0"/>
          <w:sz w:val="32"/>
          <w:szCs w:val="32"/>
          <w:lang w:eastAsia="zh-CN"/>
        </w:rPr>
        <w:t>，</w:t>
      </w:r>
      <w:r>
        <w:rPr>
          <w:rFonts w:hint="eastAsia" w:ascii="宋体" w:hAnsi="宋体" w:eastAsia="仿宋_GB2312" w:cs="仿宋_GB2312"/>
          <w:color w:val="auto"/>
          <w:w w:val="100"/>
          <w:kern w:val="0"/>
          <w:sz w:val="32"/>
          <w:szCs w:val="32"/>
        </w:rPr>
        <w:t>严格执行规范整合后的医疗服务价格项目规定的</w:t>
      </w:r>
      <w:r>
        <w:rPr>
          <w:rFonts w:hint="eastAsia" w:ascii="宋体" w:hAnsi="宋体" w:eastAsia="仿宋_GB2312" w:cs="仿宋_GB2312"/>
          <w:color w:val="auto"/>
          <w:w w:val="100"/>
          <w:sz w:val="32"/>
          <w:szCs w:val="32"/>
          <w:lang w:val="zh-TW"/>
        </w:rPr>
        <w:t>“项目编码</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项目名称</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服务产出</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价格构成</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计价单位</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说明</w:t>
      </w:r>
      <w:r>
        <w:rPr>
          <w:rFonts w:hint="eastAsia" w:ascii="宋体" w:hAnsi="宋体" w:eastAsia="仿宋_GB2312" w:cs="仿宋_GB2312"/>
          <w:color w:val="auto"/>
          <w:w w:val="100"/>
          <w:sz w:val="32"/>
          <w:szCs w:val="32"/>
          <w:lang w:val="zh-TW" w:eastAsia="zh-CN"/>
        </w:rPr>
        <w:t>”和“</w:t>
      </w:r>
      <w:r>
        <w:rPr>
          <w:rFonts w:hint="eastAsia" w:ascii="宋体" w:hAnsi="宋体" w:eastAsia="仿宋_GB2312" w:cs="仿宋_GB2312"/>
          <w:color w:val="auto"/>
          <w:w w:val="100"/>
          <w:sz w:val="32"/>
          <w:szCs w:val="32"/>
          <w:lang w:val="zh-TW"/>
        </w:rPr>
        <w:t>医保支付类别</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w:t>
      </w:r>
      <w:r>
        <w:rPr>
          <w:rFonts w:hint="eastAsia" w:ascii="宋体" w:hAnsi="宋体" w:eastAsia="仿宋_GB2312" w:cs="仿宋_GB2312"/>
          <w:color w:val="auto"/>
          <w:w w:val="100"/>
          <w:sz w:val="32"/>
          <w:szCs w:val="32"/>
        </w:rPr>
        <w:t>不得自行制定</w:t>
      </w:r>
      <w:r>
        <w:rPr>
          <w:rFonts w:hint="eastAsia" w:ascii="宋体" w:hAnsi="宋体" w:eastAsia="仿宋_GB2312" w:cs="仿宋_GB2312"/>
          <w:color w:val="auto"/>
          <w:w w:val="100"/>
          <w:sz w:val="32"/>
          <w:szCs w:val="32"/>
          <w:lang w:eastAsia="zh-CN"/>
        </w:rPr>
        <w:t>医保支付政策</w:t>
      </w:r>
      <w:r>
        <w:rPr>
          <w:rFonts w:hint="eastAsia" w:ascii="宋体" w:hAnsi="宋体" w:eastAsia="仿宋_GB2312" w:cs="仿宋_GB2312"/>
          <w:color w:val="auto"/>
          <w:w w:val="100"/>
          <w:sz w:val="32"/>
          <w:szCs w:val="32"/>
        </w:rPr>
        <w:t>或用变通的方法增加</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w:t>
      </w:r>
      <w:r>
        <w:rPr>
          <w:rFonts w:hint="eastAsia" w:ascii="宋体" w:hAnsi="宋体" w:eastAsia="仿宋_GB2312" w:cs="仿宋_GB2312"/>
          <w:color w:val="auto"/>
          <w:w w:val="100"/>
          <w:sz w:val="32"/>
          <w:szCs w:val="32"/>
          <w:lang w:eastAsia="zh-CN"/>
        </w:rPr>
        <w:t>的</w:t>
      </w:r>
      <w:r>
        <w:rPr>
          <w:rFonts w:hint="eastAsia" w:ascii="宋体" w:hAnsi="宋体" w:eastAsia="仿宋_GB2312" w:cs="仿宋_GB2312"/>
          <w:color w:val="auto"/>
          <w:w w:val="100"/>
          <w:sz w:val="32"/>
          <w:szCs w:val="32"/>
        </w:rPr>
        <w:t>医疗服务项目，也不得自行调整</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内医疗服</w:t>
      </w:r>
      <w:r>
        <w:rPr>
          <w:rFonts w:hint="eastAsia" w:ascii="宋体" w:hAnsi="宋体" w:eastAsia="仿宋_GB2312" w:cs="仿宋_GB2312"/>
          <w:color w:val="auto"/>
          <w:w w:val="100"/>
          <w:kern w:val="0"/>
          <w:sz w:val="32"/>
          <w:szCs w:val="32"/>
        </w:rPr>
        <w:t>务项目的支付类别、范围、比例或另设立医保支付标准。</w:t>
      </w:r>
    </w:p>
    <w:p w14:paraId="1C1711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仿宋_GB2312" w:cs="仿宋_GB2312"/>
          <w:color w:val="auto"/>
          <w:w w:val="100"/>
          <w:sz w:val="32"/>
          <w:szCs w:val="32"/>
        </w:rPr>
      </w:pPr>
      <w:r>
        <w:rPr>
          <w:rFonts w:hint="eastAsia" w:ascii="宋体" w:hAnsi="宋体" w:eastAsia="仿宋_GB2312" w:cs="仿宋_GB2312"/>
          <w:color w:val="auto"/>
          <w:w w:val="100"/>
          <w:sz w:val="32"/>
          <w:szCs w:val="32"/>
          <w:lang w:eastAsia="zh-CN"/>
        </w:rPr>
        <w:t>三</w:t>
      </w:r>
      <w:r>
        <w:rPr>
          <w:rFonts w:hint="eastAsia" w:ascii="宋体" w:hAnsi="宋体" w:eastAsia="仿宋_GB2312" w:cs="仿宋_GB2312"/>
          <w:color w:val="auto"/>
          <w:w w:val="100"/>
          <w:sz w:val="32"/>
          <w:szCs w:val="32"/>
        </w:rPr>
        <w:t>、医疗机构应严格执行价格公示等有关规定，及时将整合后的医疗服务价格项目发布在主要服务场所或官方网站，接受社会监督。</w:t>
      </w:r>
    </w:p>
    <w:p w14:paraId="124F48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四</w:t>
      </w:r>
      <w:r>
        <w:rPr>
          <w:rFonts w:hint="eastAsia" w:ascii="宋体" w:hAnsi="宋体" w:eastAsia="仿宋_GB2312" w:cs="仿宋_GB2312"/>
          <w:color w:val="auto"/>
          <w:w w:val="100"/>
          <w:sz w:val="32"/>
          <w:szCs w:val="32"/>
        </w:rPr>
        <w:t>、</w:t>
      </w:r>
      <w:r>
        <w:rPr>
          <w:rFonts w:hint="eastAsia" w:ascii="宋体" w:hAnsi="宋体" w:eastAsia="仿宋_GB2312" w:cs="仿宋_GB2312"/>
          <w:sz w:val="32"/>
          <w:szCs w:val="32"/>
        </w:rPr>
        <w:t>各</w:t>
      </w:r>
      <w:r>
        <w:rPr>
          <w:rFonts w:hint="eastAsia" w:ascii="宋体" w:hAnsi="宋体" w:eastAsia="仿宋_GB2312" w:cs="仿宋_GB2312"/>
          <w:sz w:val="32"/>
          <w:szCs w:val="32"/>
          <w:lang w:val="en-US" w:eastAsia="zh-CN"/>
        </w:rPr>
        <w:t>分局</w:t>
      </w:r>
      <w:r>
        <w:rPr>
          <w:rFonts w:hint="eastAsia" w:ascii="宋体" w:hAnsi="宋体" w:eastAsia="仿宋_GB2312" w:cs="仿宋_GB2312"/>
          <w:sz w:val="32"/>
          <w:szCs w:val="32"/>
        </w:rPr>
        <w:t>应对</w:t>
      </w:r>
      <w:r>
        <w:rPr>
          <w:rFonts w:hint="eastAsia" w:ascii="宋体" w:hAnsi="宋体" w:eastAsia="仿宋_GB2312" w:cs="仿宋_GB2312"/>
          <w:sz w:val="32"/>
          <w:szCs w:val="32"/>
          <w:lang w:val="en-US" w:eastAsia="zh-CN"/>
        </w:rPr>
        <w:t>整合后</w:t>
      </w:r>
      <w:r>
        <w:rPr>
          <w:rFonts w:hint="eastAsia" w:ascii="宋体" w:hAnsi="宋体" w:eastAsia="仿宋_GB2312" w:cs="仿宋_GB2312"/>
          <w:sz w:val="32"/>
          <w:szCs w:val="32"/>
        </w:rPr>
        <w:t>的医疗服务价格项目</w:t>
      </w:r>
      <w:r>
        <w:rPr>
          <w:rFonts w:hint="eastAsia" w:ascii="宋体" w:hAnsi="宋体" w:eastAsia="仿宋_GB2312" w:cs="仿宋_GB2312"/>
          <w:color w:val="auto"/>
          <w:w w:val="100"/>
          <w:sz w:val="32"/>
          <w:szCs w:val="32"/>
          <w:lang w:val="zh-CN" w:eastAsia="zh-CN"/>
        </w:rPr>
        <w:t>开展情况进行定期监测。</w:t>
      </w:r>
      <w:r>
        <w:rPr>
          <w:rFonts w:hint="eastAsia" w:ascii="宋体" w:hAnsi="宋体" w:eastAsia="仿宋_GB2312" w:cs="仿宋_GB2312"/>
          <w:color w:val="auto"/>
          <w:w w:val="100"/>
          <w:kern w:val="0"/>
          <w:sz w:val="32"/>
          <w:szCs w:val="32"/>
          <w:lang w:eastAsia="zh-CN"/>
        </w:rPr>
        <w:t>同时，</w:t>
      </w:r>
      <w:r>
        <w:rPr>
          <w:rFonts w:hint="eastAsia" w:ascii="宋体" w:hAnsi="宋体" w:eastAsia="仿宋_GB2312" w:cs="仿宋_GB2312"/>
          <w:color w:val="auto"/>
          <w:w w:val="100"/>
          <w:kern w:val="0"/>
          <w:sz w:val="32"/>
          <w:szCs w:val="32"/>
          <w:lang w:val="en-US" w:eastAsia="zh-CN"/>
        </w:rPr>
        <w:t>应通过医保协议管理等方式同步规范民营医疗机构的医疗服务项目价格水平，不得高于本统筹区同等级公立医疗机构的医疗服务项目价格水平。</w:t>
      </w:r>
    </w:p>
    <w:p w14:paraId="189C9AF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五</w:t>
      </w:r>
      <w:r>
        <w:rPr>
          <w:rFonts w:hint="eastAsia" w:ascii="宋体" w:hAnsi="宋体" w:eastAsia="仿宋_GB2312" w:cs="仿宋_GB2312"/>
          <w:color w:val="auto"/>
          <w:w w:val="100"/>
          <w:sz w:val="32"/>
          <w:szCs w:val="32"/>
        </w:rPr>
        <w:t>、本通知自202</w:t>
      </w:r>
      <w:r>
        <w:rPr>
          <w:rFonts w:hint="eastAsia" w:ascii="宋体" w:hAnsi="宋体" w:eastAsia="仿宋_GB2312" w:cs="仿宋_GB2312"/>
          <w:color w:val="auto"/>
          <w:w w:val="100"/>
          <w:sz w:val="32"/>
          <w:szCs w:val="32"/>
          <w:lang w:val="en-US" w:eastAsia="zh-CN"/>
        </w:rPr>
        <w:t>5</w:t>
      </w:r>
      <w:r>
        <w:rPr>
          <w:rFonts w:hint="eastAsia" w:ascii="宋体" w:hAnsi="宋体" w:eastAsia="仿宋_GB2312" w:cs="仿宋_GB2312"/>
          <w:color w:val="auto"/>
          <w:w w:val="100"/>
          <w:sz w:val="32"/>
          <w:szCs w:val="32"/>
        </w:rPr>
        <w:t>年</w:t>
      </w:r>
      <w:r>
        <w:rPr>
          <w:rFonts w:hint="eastAsia" w:ascii="宋体" w:hAnsi="宋体" w:eastAsia="仿宋_GB2312" w:cs="仿宋_GB2312"/>
          <w:color w:val="auto"/>
          <w:w w:val="100"/>
          <w:sz w:val="32"/>
          <w:szCs w:val="32"/>
          <w:lang w:val="en-US" w:eastAsia="zh-CN"/>
        </w:rPr>
        <w:t>3</w:t>
      </w:r>
      <w:r>
        <w:rPr>
          <w:rFonts w:hint="eastAsia" w:ascii="宋体" w:hAnsi="宋体" w:eastAsia="仿宋_GB2312" w:cs="仿宋_GB2312"/>
          <w:color w:val="auto"/>
          <w:w w:val="100"/>
          <w:sz w:val="32"/>
          <w:szCs w:val="32"/>
        </w:rPr>
        <w:t>月1日起执行。若国家或我省</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w w:val="100"/>
          <w:sz w:val="32"/>
          <w:szCs w:val="32"/>
          <w:lang w:val="en-US" w:eastAsia="zh-CN"/>
        </w:rPr>
        <w:t>我市</w:t>
      </w:r>
      <w:r>
        <w:rPr>
          <w:rFonts w:hint="eastAsia" w:ascii="宋体" w:hAnsi="宋体" w:eastAsia="仿宋_GB2312" w:cs="仿宋_GB2312"/>
          <w:color w:val="auto"/>
          <w:w w:val="100"/>
          <w:sz w:val="32"/>
          <w:szCs w:val="32"/>
        </w:rPr>
        <w:t>有新规定的，按新规定执行。</w:t>
      </w:r>
    </w:p>
    <w:p w14:paraId="124DE5A4">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412"/>
        <w:textAlignment w:val="auto"/>
        <w:rPr>
          <w:rFonts w:hint="eastAsia" w:ascii="宋体" w:hAnsi="宋体" w:eastAsia="仿宋_GB2312" w:cs="仿宋_GB2312"/>
          <w:sz w:val="32"/>
          <w:szCs w:val="32"/>
        </w:rPr>
      </w:pPr>
    </w:p>
    <w:p w14:paraId="36E936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pacing w:val="-6"/>
          <w:w w:val="100"/>
          <w:sz w:val="32"/>
          <w:szCs w:val="32"/>
          <w:lang w:eastAsia="zh-CN"/>
        </w:rPr>
      </w:pPr>
      <w:r>
        <w:rPr>
          <w:rFonts w:hint="eastAsia" w:ascii="宋体" w:hAnsi="宋体" w:eastAsia="仿宋_GB2312" w:cs="仿宋_GB2312"/>
          <w:sz w:val="32"/>
          <w:szCs w:val="32"/>
        </w:rPr>
        <w:t>附件：</w:t>
      </w:r>
      <w:r>
        <w:rPr>
          <w:rFonts w:hint="eastAsia" w:ascii="宋体" w:hAnsi="宋体" w:eastAsia="仿宋_GB2312" w:cs="仿宋_GB2312"/>
          <w:color w:val="auto"/>
          <w:spacing w:val="-6"/>
          <w:w w:val="100"/>
          <w:sz w:val="32"/>
          <w:szCs w:val="32"/>
        </w:rPr>
        <w:fldChar w:fldCharType="begin"/>
      </w:r>
      <w:r>
        <w:rPr>
          <w:rFonts w:hint="eastAsia" w:ascii="宋体" w:hAnsi="宋体" w:eastAsia="仿宋_GB2312" w:cs="仿宋_GB2312"/>
          <w:color w:val="auto"/>
          <w:spacing w:val="-6"/>
          <w:w w:val="100"/>
          <w:sz w:val="32"/>
          <w:szCs w:val="32"/>
        </w:rPr>
        <w:instrText xml:space="preserve"> HYPERLINK "http://ybj.jiangxi.gov.cn/module/download/downfile.jsp?classid=0&amp;showname=%E9%99%84%E4%BB%B61%E8%A7%84%E8%8C%83%E6%95%B4%E5%90%88%E5%90%8E%E7%9A%84%E8%BE%85%E5%8A%A9%E7%94%9F%E6%AE%96%E7%B1%BB%E5%8C%BB%E7%96%97%E6%9C%8D%E5%8A%A1%E4%BB%B7%E6%A0%BC%E9%A1%B9%E7%9B%AE%E8%A1%A8.pdf&amp;filename=4b62751d2d0e4720bbd2ec0eb6f5739d.pdf" \t "http://ybj.jiangxi.gov.cn/art/2023/12/22/_self" </w:instrText>
      </w:r>
      <w:r>
        <w:rPr>
          <w:rFonts w:hint="eastAsia" w:ascii="宋体" w:hAnsi="宋体" w:eastAsia="仿宋_GB2312" w:cs="仿宋_GB2312"/>
          <w:color w:val="auto"/>
          <w:spacing w:val="-6"/>
          <w:w w:val="100"/>
          <w:sz w:val="32"/>
          <w:szCs w:val="32"/>
        </w:rPr>
        <w:fldChar w:fldCharType="separate"/>
      </w:r>
      <w:r>
        <w:rPr>
          <w:rFonts w:hint="eastAsia" w:ascii="宋体" w:hAnsi="宋体" w:eastAsia="仿宋_GB2312" w:cs="仿宋_GB2312"/>
          <w:color w:val="auto"/>
          <w:spacing w:val="-6"/>
          <w:w w:val="100"/>
          <w:sz w:val="32"/>
          <w:szCs w:val="32"/>
        </w:rPr>
        <w:t>1.规范整合后的</w:t>
      </w:r>
      <w:r>
        <w:rPr>
          <w:rFonts w:hint="eastAsia" w:ascii="宋体" w:hAnsi="宋体" w:eastAsia="仿宋_GB2312" w:cs="仿宋_GB2312"/>
          <w:color w:val="auto"/>
          <w:spacing w:val="-6"/>
          <w:w w:val="100"/>
          <w:sz w:val="32"/>
          <w:szCs w:val="32"/>
          <w:lang w:val="zh-CN"/>
        </w:rPr>
        <w:t>临床量表评估类</w:t>
      </w:r>
      <w:r>
        <w:rPr>
          <w:rFonts w:hint="eastAsia" w:ascii="宋体" w:hAnsi="宋体" w:eastAsia="仿宋_GB2312" w:cs="仿宋_GB2312"/>
          <w:color w:val="auto"/>
          <w:spacing w:val="-6"/>
          <w:w w:val="100"/>
          <w:sz w:val="32"/>
          <w:szCs w:val="32"/>
        </w:rPr>
        <w:t>医疗服务价格项目</w:t>
      </w:r>
      <w:r>
        <w:rPr>
          <w:rFonts w:hint="eastAsia" w:ascii="宋体" w:hAnsi="宋体" w:eastAsia="仿宋_GB2312" w:cs="仿宋_GB2312"/>
          <w:color w:val="auto"/>
          <w:spacing w:val="-6"/>
          <w:w w:val="100"/>
          <w:sz w:val="32"/>
          <w:szCs w:val="32"/>
        </w:rPr>
        <w:fldChar w:fldCharType="end"/>
      </w:r>
      <w:r>
        <w:rPr>
          <w:rFonts w:hint="eastAsia" w:ascii="宋体" w:hAnsi="宋体" w:eastAsia="仿宋_GB2312" w:cs="仿宋_GB2312"/>
          <w:color w:val="auto"/>
          <w:spacing w:val="-6"/>
          <w:w w:val="100"/>
          <w:sz w:val="32"/>
          <w:szCs w:val="32"/>
          <w:lang w:eastAsia="zh-CN"/>
        </w:rPr>
        <w:t>表</w:t>
      </w:r>
    </w:p>
    <w:p w14:paraId="1642FE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w w:val="100"/>
          <w:sz w:val="32"/>
          <w:szCs w:val="32"/>
        </w:rPr>
      </w:pPr>
      <w:r>
        <w:rPr>
          <w:rFonts w:hint="eastAsia" w:ascii="宋体" w:hAnsi="宋体" w:eastAsia="仿宋_GB2312" w:cs="仿宋_GB2312"/>
          <w:color w:val="auto"/>
          <w:w w:val="100"/>
          <w:sz w:val="32"/>
          <w:szCs w:val="32"/>
          <w:lang w:val="en-US" w:eastAsia="zh-CN"/>
        </w:rPr>
        <w:t xml:space="preserve">      </w:t>
      </w:r>
      <w:r>
        <w:rPr>
          <w:rFonts w:hint="eastAsia" w:ascii="宋体" w:hAnsi="宋体" w:eastAsia="仿宋_GB2312" w:cs="仿宋_GB2312"/>
          <w:color w:val="auto"/>
          <w:w w:val="100"/>
          <w:sz w:val="32"/>
          <w:szCs w:val="32"/>
          <w:lang w:val="en-US" w:eastAsia="zh-CN"/>
        </w:rPr>
        <w:fldChar w:fldCharType="begin"/>
      </w:r>
      <w:r>
        <w:rPr>
          <w:rFonts w:hint="eastAsia" w:ascii="宋体" w:hAnsi="宋体" w:eastAsia="仿宋_GB2312" w:cs="仿宋_GB2312"/>
          <w:color w:val="auto"/>
          <w:w w:val="100"/>
          <w:sz w:val="32"/>
          <w:szCs w:val="32"/>
          <w:lang w:val="en-US" w:eastAsia="zh-CN"/>
        </w:rPr>
        <w:instrText xml:space="preserve"> HYPERLINK "http://ybj.jiangxi.gov.cn/module/download/downfile.jsp?classid=0&amp;showname=%E9%99%84%E4%BB%B62%E5%BA%9F%E6%AD%A2%E7%8E%B0%E8%A1%8C 20 %E4%B8%AA%E8%BE%85%E5%8A%A9%E7%94%9F%E6%AE%96%E7%B1%BB%E5%8C%BB%E7%96%97%E6%9C%8D%E5%8A%A1%E4%BB%B7%E6%A0%BC%E9%A1%B9%E7%9B%AE%E8%A1%A8.pdf&amp;filename=e8c6e0acd0714dd798d37e73eaa00d6c.pdf" \t "http://ybj.jiangxi.gov.cn/art/2023/12/22/_self" </w:instrText>
      </w:r>
      <w:r>
        <w:rPr>
          <w:rFonts w:hint="eastAsia" w:ascii="宋体" w:hAnsi="宋体" w:eastAsia="仿宋_GB2312" w:cs="仿宋_GB2312"/>
          <w:color w:val="auto"/>
          <w:w w:val="100"/>
          <w:sz w:val="32"/>
          <w:szCs w:val="32"/>
          <w:lang w:val="en-US" w:eastAsia="zh-CN"/>
        </w:rPr>
        <w:fldChar w:fldCharType="separate"/>
      </w:r>
      <w:r>
        <w:rPr>
          <w:rFonts w:hint="eastAsia" w:ascii="宋体" w:hAnsi="宋体" w:eastAsia="仿宋_GB2312" w:cs="仿宋_GB2312"/>
          <w:color w:val="auto"/>
          <w:w w:val="100"/>
          <w:sz w:val="32"/>
          <w:szCs w:val="32"/>
          <w:lang w:val="en-US" w:eastAsia="zh-CN"/>
        </w:rPr>
        <w:t>2.废</w:t>
      </w:r>
      <w:r>
        <w:rPr>
          <w:rFonts w:hint="eastAsia" w:ascii="宋体" w:hAnsi="宋体" w:eastAsia="仿宋_GB2312" w:cs="仿宋_GB2312"/>
          <w:color w:val="auto"/>
          <w:spacing w:val="-6"/>
          <w:w w:val="100"/>
          <w:sz w:val="32"/>
          <w:szCs w:val="32"/>
          <w:lang w:val="en-US" w:eastAsia="zh-CN"/>
        </w:rPr>
        <w:t>止现行22个</w:t>
      </w:r>
      <w:r>
        <w:rPr>
          <w:rFonts w:hint="eastAsia" w:ascii="宋体" w:hAnsi="宋体" w:eastAsia="仿宋_GB2312" w:cs="仿宋_GB2312"/>
          <w:color w:val="auto"/>
          <w:spacing w:val="-6"/>
          <w:w w:val="100"/>
          <w:sz w:val="32"/>
          <w:szCs w:val="32"/>
          <w:lang w:val="zh-CN"/>
        </w:rPr>
        <w:t>临床量表评估类</w:t>
      </w:r>
      <w:r>
        <w:rPr>
          <w:rFonts w:hint="eastAsia" w:ascii="宋体" w:hAnsi="宋体" w:eastAsia="仿宋_GB2312" w:cs="仿宋_GB2312"/>
          <w:color w:val="auto"/>
          <w:spacing w:val="-6"/>
          <w:w w:val="100"/>
          <w:sz w:val="32"/>
          <w:szCs w:val="32"/>
          <w:lang w:val="en-US" w:eastAsia="zh-CN"/>
        </w:rPr>
        <w:t>医疗服务价格项目表</w:t>
      </w:r>
      <w:r>
        <w:rPr>
          <w:rFonts w:hint="eastAsia" w:ascii="宋体" w:hAnsi="宋体" w:eastAsia="仿宋_GB2312" w:cs="仿宋_GB2312"/>
          <w:color w:val="auto"/>
          <w:w w:val="100"/>
          <w:sz w:val="32"/>
          <w:szCs w:val="32"/>
          <w:lang w:val="en-US" w:eastAsia="zh-CN"/>
        </w:rPr>
        <w:fldChar w:fldCharType="end"/>
      </w:r>
    </w:p>
    <w:p w14:paraId="67F90FEB">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1600" w:firstLineChars="500"/>
        <w:jc w:val="both"/>
        <w:textAlignment w:val="center"/>
        <w:rPr>
          <w:rFonts w:hint="eastAsia" w:ascii="宋体" w:hAnsi="宋体" w:eastAsia="仿宋_GB2312" w:cs="仿宋_GB2312"/>
          <w:color w:val="auto"/>
          <w:w w:val="100"/>
          <w:sz w:val="32"/>
          <w:szCs w:val="32"/>
          <w:lang w:val="en-US" w:eastAsia="zh-CN"/>
        </w:rPr>
      </w:pPr>
      <w:r>
        <w:rPr>
          <w:rFonts w:hint="eastAsia" w:ascii="宋体" w:hAnsi="宋体" w:eastAsia="仿宋_GB2312" w:cs="仿宋_GB2312"/>
          <w:color w:val="auto"/>
          <w:w w:val="100"/>
          <w:sz w:val="32"/>
          <w:szCs w:val="32"/>
          <w:lang w:val="en-US" w:eastAsia="zh-CN"/>
        </w:rPr>
        <w:t>3.规范整合后的中医针法类医疗服务项目价格表</w:t>
      </w:r>
    </w:p>
    <w:p w14:paraId="35CBCADC">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1600" w:firstLineChars="500"/>
        <w:jc w:val="both"/>
        <w:textAlignment w:val="center"/>
        <w:rPr>
          <w:rFonts w:hint="eastAsia" w:ascii="宋体" w:hAnsi="宋体" w:eastAsia="仿宋_GB2312" w:cs="仿宋_GB2312"/>
          <w:color w:val="auto"/>
          <w:w w:val="100"/>
          <w:sz w:val="32"/>
          <w:szCs w:val="32"/>
          <w:lang w:val="en-US" w:eastAsia="zh-CN"/>
        </w:rPr>
      </w:pPr>
      <w:r>
        <w:rPr>
          <w:rFonts w:hint="eastAsia" w:ascii="宋体" w:hAnsi="宋体" w:eastAsia="仿宋_GB2312" w:cs="仿宋_GB2312"/>
          <w:color w:val="auto"/>
          <w:w w:val="100"/>
          <w:sz w:val="32"/>
          <w:szCs w:val="32"/>
          <w:lang w:val="en-US" w:eastAsia="zh-CN"/>
        </w:rPr>
        <w:t>4.废止现行29个中医针法类医疗服务价格项目表</w:t>
      </w:r>
    </w:p>
    <w:p w14:paraId="51E0D06D">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1600" w:firstLineChars="500"/>
        <w:jc w:val="both"/>
        <w:textAlignment w:val="center"/>
        <w:rPr>
          <w:rFonts w:hint="eastAsia" w:ascii="宋体" w:hAnsi="宋体" w:eastAsia="仿宋_GB2312" w:cs="仿宋_GB2312"/>
          <w:color w:val="auto"/>
          <w:w w:val="100"/>
          <w:sz w:val="32"/>
          <w:szCs w:val="32"/>
          <w:lang w:val="en-US" w:eastAsia="zh-CN"/>
        </w:rPr>
      </w:pPr>
      <w:r>
        <w:rPr>
          <w:rFonts w:hint="eastAsia" w:ascii="宋体" w:hAnsi="宋体" w:eastAsia="仿宋_GB2312" w:cs="仿宋_GB2312"/>
          <w:color w:val="auto"/>
          <w:w w:val="100"/>
          <w:sz w:val="32"/>
          <w:szCs w:val="32"/>
          <w:lang w:val="en-US" w:eastAsia="zh-CN"/>
        </w:rPr>
        <w:t>5.规范整合后中医外治类医疗服务项目价格表</w:t>
      </w:r>
    </w:p>
    <w:p w14:paraId="584308AA">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1600" w:firstLineChars="500"/>
        <w:jc w:val="both"/>
        <w:textAlignment w:val="center"/>
        <w:rPr>
          <w:rFonts w:hint="eastAsia" w:ascii="宋体" w:hAnsi="宋体" w:eastAsia="仿宋_GB2312" w:cs="仿宋_GB2312"/>
          <w:color w:val="auto"/>
          <w:w w:val="100"/>
          <w:sz w:val="32"/>
          <w:szCs w:val="32"/>
          <w:lang w:val="en-US" w:eastAsia="zh-CN"/>
        </w:rPr>
      </w:pPr>
      <w:r>
        <w:rPr>
          <w:rFonts w:hint="eastAsia" w:ascii="宋体" w:hAnsi="宋体" w:eastAsia="仿宋_GB2312" w:cs="仿宋_GB2312"/>
          <w:color w:val="auto"/>
          <w:w w:val="100"/>
          <w:sz w:val="32"/>
          <w:szCs w:val="32"/>
          <w:lang w:val="en-US" w:eastAsia="zh-CN"/>
        </w:rPr>
        <w:t>6.废止现行27个中医外治类医疗服务价格项目表</w:t>
      </w:r>
    </w:p>
    <w:p w14:paraId="2D1F6E41">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1600" w:firstLineChars="500"/>
        <w:jc w:val="both"/>
        <w:textAlignment w:val="center"/>
        <w:rPr>
          <w:rFonts w:hint="eastAsia" w:ascii="宋体" w:hAnsi="宋体" w:eastAsia="仿宋_GB2312" w:cs="仿宋_GB2312"/>
          <w:color w:val="auto"/>
          <w:w w:val="100"/>
          <w:sz w:val="32"/>
          <w:szCs w:val="32"/>
          <w:lang w:val="en-US" w:eastAsia="zh-CN"/>
        </w:rPr>
      </w:pPr>
      <w:r>
        <w:rPr>
          <w:rFonts w:hint="eastAsia" w:ascii="宋体" w:hAnsi="宋体" w:eastAsia="仿宋_GB2312" w:cs="仿宋_GB2312"/>
          <w:color w:val="auto"/>
          <w:w w:val="100"/>
          <w:sz w:val="32"/>
          <w:szCs w:val="32"/>
          <w:lang w:val="en-US" w:eastAsia="zh-CN"/>
        </w:rPr>
        <w:t>7.设立航空医疗转运医疗服务价格项目表</w:t>
      </w:r>
    </w:p>
    <w:p w14:paraId="2F75B75E">
      <w:pPr>
        <w:pStyle w:val="6"/>
        <w:keepNext w:val="0"/>
        <w:keepLines w:val="0"/>
        <w:pageBreakBefore w:val="0"/>
        <w:widowControl w:val="0"/>
        <w:tabs>
          <w:tab w:val="left" w:pos="1148"/>
        </w:tabs>
        <w:kinsoku/>
        <w:wordWrap/>
        <w:overflowPunct/>
        <w:topLinePunct w:val="0"/>
        <w:autoSpaceDE/>
        <w:autoSpaceDN/>
        <w:bidi w:val="0"/>
        <w:adjustRightInd/>
        <w:snapToGrid/>
        <w:spacing w:line="560" w:lineRule="exact"/>
        <w:ind w:left="0" w:leftChars="0" w:firstLine="640" w:firstLineChars="200"/>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w:t>
      </w:r>
      <w:r>
        <w:rPr>
          <w:rFonts w:hint="eastAsia" w:ascii="宋体" w:hAnsi="宋体" w:eastAsia="仿宋_GB2312" w:cs="仿宋_GB2312"/>
          <w:sz w:val="32"/>
          <w:szCs w:val="32"/>
          <w:lang w:val="en-US" w:eastAsia="zh-CN"/>
        </w:rPr>
        <w:t>此页无正文</w:t>
      </w:r>
      <w:r>
        <w:rPr>
          <w:rFonts w:hint="eastAsia" w:ascii="宋体" w:hAnsi="宋体" w:eastAsia="仿宋_GB2312" w:cs="仿宋_GB2312"/>
          <w:sz w:val="32"/>
          <w:szCs w:val="32"/>
          <w:lang w:eastAsia="zh-CN"/>
        </w:rPr>
        <w:t>）</w:t>
      </w:r>
    </w:p>
    <w:p w14:paraId="5B665AC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t xml:space="preserve">                           </w:t>
      </w:r>
    </w:p>
    <w:p w14:paraId="362AE13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宋体" w:hAnsi="宋体" w:eastAsia="仿宋_GB2312" w:cs="仿宋_GB2312"/>
          <w:color w:val="auto"/>
          <w:sz w:val="32"/>
          <w:szCs w:val="32"/>
          <w:highlight w:val="none"/>
          <w:lang w:val="en-US" w:eastAsia="zh-CN"/>
        </w:rPr>
      </w:pPr>
    </w:p>
    <w:p w14:paraId="2C9C53B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t xml:space="preserve">                         赣州</w:t>
      </w:r>
      <w:r>
        <w:rPr>
          <w:rFonts w:hint="eastAsia" w:ascii="宋体" w:hAnsi="宋体" w:eastAsia="仿宋_GB2312" w:cs="仿宋_GB2312"/>
          <w:color w:val="auto"/>
          <w:sz w:val="32"/>
          <w:szCs w:val="32"/>
          <w:highlight w:val="none"/>
        </w:rPr>
        <w:t>市医疗保障局</w:t>
      </w:r>
      <w:r>
        <w:rPr>
          <w:rFonts w:hint="eastAsia" w:ascii="宋体" w:hAnsi="宋体" w:eastAsia="仿宋_GB2312" w:cs="仿宋_GB2312"/>
          <w:color w:val="auto"/>
          <w:sz w:val="32"/>
          <w:szCs w:val="32"/>
          <w:highlight w:val="none"/>
          <w:lang w:val="en-US" w:eastAsia="zh-CN"/>
        </w:rPr>
        <w:t xml:space="preserve">  </w:t>
      </w:r>
    </w:p>
    <w:p w14:paraId="43C1A07E">
      <w:pPr>
        <w:pStyle w:val="6"/>
        <w:keepNext w:val="0"/>
        <w:keepLines w:val="0"/>
        <w:pageBreakBefore w:val="0"/>
        <w:widowControl w:val="0"/>
        <w:tabs>
          <w:tab w:val="left" w:pos="1148"/>
        </w:tabs>
        <w:kinsoku/>
        <w:wordWrap/>
        <w:overflowPunct/>
        <w:topLinePunct w:val="0"/>
        <w:autoSpaceDE/>
        <w:autoSpaceDN/>
        <w:bidi w:val="0"/>
        <w:adjustRightInd/>
        <w:snapToGrid/>
        <w:spacing w:line="560" w:lineRule="exact"/>
        <w:jc w:val="center"/>
        <w:rPr>
          <w:rFonts w:hint="eastAsia" w:ascii="宋体" w:hAnsi="宋体" w:eastAsia="仿宋_GB2312" w:cs="仿宋_GB2312"/>
          <w:sz w:val="32"/>
          <w:szCs w:val="32"/>
        </w:rPr>
      </w:pPr>
      <w:r>
        <w:rPr>
          <w:rFonts w:hint="eastAsia" w:ascii="宋体" w:hAnsi="宋体" w:eastAsia="仿宋_GB2312" w:cs="仿宋_GB2312"/>
          <w:color w:val="auto"/>
          <w:sz w:val="32"/>
          <w:szCs w:val="32"/>
          <w:highlight w:val="none"/>
          <w:lang w:val="en-US" w:eastAsia="zh-CN"/>
        </w:rPr>
        <w:t xml:space="preserve">                         2025</w:t>
      </w:r>
      <w:r>
        <w:rPr>
          <w:rFonts w:hint="eastAsia" w:ascii="宋体" w:hAnsi="宋体" w:eastAsia="仿宋_GB2312" w:cs="仿宋_GB2312"/>
          <w:color w:val="auto"/>
          <w:sz w:val="32"/>
          <w:szCs w:val="32"/>
          <w:highlight w:val="none"/>
        </w:rPr>
        <w:t>年</w:t>
      </w:r>
      <w:r>
        <w:rPr>
          <w:rFonts w:hint="eastAsia" w:ascii="宋体" w:hAnsi="宋体" w:eastAsia="仿宋_GB2312" w:cs="仿宋_GB2312"/>
          <w:color w:val="auto"/>
          <w:sz w:val="32"/>
          <w:szCs w:val="32"/>
          <w:highlight w:val="none"/>
          <w:lang w:val="en-US" w:eastAsia="zh-CN"/>
        </w:rPr>
        <w:t>2</w:t>
      </w:r>
      <w:r>
        <w:rPr>
          <w:rFonts w:hint="eastAsia" w:ascii="宋体" w:hAnsi="宋体" w:eastAsia="仿宋_GB2312" w:cs="仿宋_GB2312"/>
          <w:color w:val="auto"/>
          <w:sz w:val="32"/>
          <w:szCs w:val="32"/>
          <w:highlight w:val="none"/>
        </w:rPr>
        <w:t>月</w:t>
      </w:r>
      <w:r>
        <w:rPr>
          <w:rFonts w:hint="eastAsia" w:ascii="宋体" w:hAnsi="宋体" w:eastAsia="仿宋_GB2312" w:cs="仿宋_GB2312"/>
          <w:color w:val="auto"/>
          <w:sz w:val="32"/>
          <w:szCs w:val="32"/>
          <w:highlight w:val="none"/>
          <w:lang w:val="en-US" w:eastAsia="zh-CN"/>
        </w:rPr>
        <w:t>12</w:t>
      </w:r>
      <w:r>
        <w:rPr>
          <w:rFonts w:hint="eastAsia" w:ascii="宋体" w:hAnsi="宋体" w:eastAsia="仿宋_GB2312" w:cs="仿宋_GB2312"/>
          <w:color w:val="auto"/>
          <w:sz w:val="32"/>
          <w:szCs w:val="32"/>
          <w:highlight w:val="none"/>
        </w:rPr>
        <w:t>日</w:t>
      </w:r>
    </w:p>
    <w:p w14:paraId="08E3A81E">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ascii="宋体" w:hAnsi="宋体" w:eastAsia="仿宋_GB2312" w:cs="仿宋_GB2312"/>
          <w:sz w:val="32"/>
          <w:szCs w:val="32"/>
        </w:rPr>
      </w:pPr>
    </w:p>
    <w:p w14:paraId="33076308">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ascii="宋体" w:hAnsi="宋体" w:eastAsia="仿宋_GB2312" w:cs="仿宋_GB2312"/>
          <w:sz w:val="32"/>
          <w:szCs w:val="32"/>
        </w:rPr>
      </w:pPr>
    </w:p>
    <w:p w14:paraId="1FF43B68">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ascii="宋体" w:hAnsi="宋体" w:eastAsia="仿宋_GB2312" w:cs="仿宋_GB2312"/>
          <w:sz w:val="32"/>
          <w:szCs w:val="32"/>
        </w:rPr>
      </w:pPr>
    </w:p>
    <w:p w14:paraId="7A8A8018">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（此件主动公开）</w:t>
      </w:r>
    </w:p>
    <w:p w14:paraId="62D0B41C">
      <w:pPr>
        <w:pStyle w:val="6"/>
        <w:keepNext w:val="0"/>
        <w:keepLines w:val="0"/>
        <w:pageBreakBefore w:val="0"/>
        <w:widowControl w:val="0"/>
        <w:kinsoku/>
        <w:wordWrap/>
        <w:overflowPunct/>
        <w:topLinePunct w:val="0"/>
        <w:autoSpaceDE/>
        <w:autoSpaceDN/>
        <w:bidi w:val="0"/>
        <w:adjustRightInd/>
        <w:snapToGrid/>
        <w:spacing w:line="560" w:lineRule="exact"/>
        <w:ind w:left="0" w:leftChars="0"/>
        <w:rPr>
          <w:rFonts w:hint="eastAsia" w:ascii="宋体" w:hAnsi="宋体" w:eastAsia="仿宋_GB2312" w:cs="仿宋_GB2312"/>
          <w:b/>
          <w:bCs/>
          <w:i w:val="0"/>
          <w:iCs w:val="0"/>
          <w:color w:val="000000"/>
          <w:kern w:val="0"/>
          <w:sz w:val="32"/>
          <w:szCs w:val="32"/>
          <w:u w:val="none"/>
          <w:lang w:val="en-US" w:eastAsia="zh-CN" w:bidi="ar"/>
        </w:rPr>
        <w:sectPr>
          <w:footerReference r:id="rId3"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720" w:num="1"/>
          <w:docGrid w:type="lines" w:linePitch="312" w:charSpace="0"/>
        </w:sectPr>
      </w:pPr>
    </w:p>
    <w:p w14:paraId="141747BB">
      <w:pPr>
        <w:pStyle w:val="6"/>
        <w:keepNext w:val="0"/>
        <w:keepLines w:val="0"/>
        <w:pageBreakBefore w:val="0"/>
        <w:widowControl w:val="0"/>
        <w:kinsoku/>
        <w:wordWrap/>
        <w:overflowPunct/>
        <w:topLinePunct w:val="0"/>
        <w:autoSpaceDE/>
        <w:autoSpaceDN/>
        <w:bidi w:val="0"/>
        <w:adjustRightInd/>
        <w:snapToGrid/>
        <w:spacing w:line="560" w:lineRule="exact"/>
        <w:ind w:left="0" w:leftChars="0"/>
        <w:rPr>
          <w:rFonts w:hint="default" w:ascii="宋体" w:hAnsi="宋体" w:eastAsia="黑体" w:cs="黑体"/>
          <w:spacing w:val="7"/>
          <w:sz w:val="32"/>
          <w:szCs w:val="32"/>
          <w:shd w:val="clear" w:color="auto" w:fill="FFFFFF"/>
          <w:lang w:val="en-US" w:eastAsia="zh-CN"/>
        </w:rPr>
      </w:pPr>
      <w:r>
        <w:rPr>
          <w:rFonts w:hint="eastAsia" w:ascii="宋体" w:hAnsi="宋体" w:eastAsia="黑体" w:cs="黑体"/>
          <w:spacing w:val="7"/>
          <w:sz w:val="32"/>
          <w:szCs w:val="32"/>
          <w:shd w:val="clear" w:color="auto" w:fill="FFFFFF"/>
          <w:lang w:val="en-US" w:eastAsia="zh-CN"/>
        </w:rPr>
        <w:t>附件1</w:t>
      </w:r>
    </w:p>
    <w:p w14:paraId="64A7A91C">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规范整合后的</w:t>
      </w:r>
      <w:r>
        <w:rPr>
          <w:rFonts w:hint="eastAsia" w:ascii="方正小标宋简体" w:hAnsi="黑体" w:eastAsia="方正小标宋简体" w:cs="仿宋_GB2312"/>
          <w:color w:val="auto"/>
          <w:sz w:val="44"/>
          <w:szCs w:val="44"/>
          <w:lang w:eastAsia="zh-CN"/>
        </w:rPr>
        <w:t>临床量表评估</w:t>
      </w:r>
      <w:r>
        <w:rPr>
          <w:rFonts w:hint="eastAsia" w:ascii="方正小标宋简体" w:hAnsi="黑体" w:eastAsia="方正小标宋简体" w:cs="仿宋_GB2312"/>
          <w:color w:val="auto"/>
          <w:sz w:val="44"/>
          <w:szCs w:val="44"/>
        </w:rPr>
        <w:t>类医疗服务价格项目表</w:t>
      </w:r>
    </w:p>
    <w:tbl>
      <w:tblPr>
        <w:tblStyle w:val="10"/>
        <w:tblW w:w="14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505"/>
      </w:tblGrid>
      <w:tr w14:paraId="17033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blHeader/>
        </w:trPr>
        <w:tc>
          <w:tcPr>
            <w:tcW w:w="145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91B4D4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color w:val="auto"/>
                <w:sz w:val="18"/>
                <w:szCs w:val="18"/>
                <w:lang w:eastAsia="zh-CN"/>
              </w:rPr>
            </w:pPr>
          </w:p>
          <w:p w14:paraId="72BBAC4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lang w:eastAsia="zh-CN"/>
              </w:rPr>
              <w:t>使用</w:t>
            </w:r>
            <w:r>
              <w:rPr>
                <w:rFonts w:hint="eastAsia" w:ascii="Times New Roman" w:hAnsi="Times New Roman" w:eastAsia="仿宋_GB2312" w:cs="仿宋_GB2312"/>
                <w:color w:val="auto"/>
                <w:sz w:val="18"/>
                <w:szCs w:val="18"/>
              </w:rPr>
              <w:t>说明：</w:t>
            </w:r>
          </w:p>
          <w:p w14:paraId="63751C2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rPr>
              <w:t>1.“临床量表评估”指人工评估或应用人工智能辅助的评估，涵盖西医和中医的各个临床专业，评估目的是为临床诊断、辅助诊断或治疗效果评价提供支持，评估内容包括但不限于对个体的压力、生活、应激事件；情感反应、行为模式；各项大脑及神经功能、认知功能；生活功能、社会功能、家庭功能、环境适应能力、生命质量、生理机能、营养状态、智力发育及临床诊疗等，以临床试验、流行病学调查、长期随访、科学研究为目的的评估不作为医疗服务价格项目。</w:t>
            </w:r>
          </w:p>
          <w:p w14:paraId="72194C9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rPr>
              <w:t>2.临床量表是指卫生行业主管部门相关技术规范等准许使用的临床量表。量表项目开展方式包括人工评估和应用人工智能辅助的评估。按照以服务产出为导向的原则，临床量表评估类项目以“得出评估结论”作为一个完整计价单元，医疗机构为得出准确结论需要应用1份或若干份量表的，按照评估条目的总数计费。不同学科且不重复的临床量表评估可分别计价。</w:t>
            </w:r>
          </w:p>
          <w:p w14:paraId="6B05A15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仿宋_GB2312"/>
                <w:color w:val="auto"/>
                <w:sz w:val="18"/>
                <w:szCs w:val="18"/>
                <w:lang w:val="en-US" w:eastAsia="zh-CN"/>
              </w:rPr>
            </w:pPr>
            <w:r>
              <w:rPr>
                <w:rFonts w:hint="eastAsia" w:ascii="Times New Roman" w:hAnsi="Times New Roman" w:eastAsia="仿宋_GB2312" w:cs="仿宋_GB2312"/>
                <w:color w:val="auto"/>
                <w:sz w:val="18"/>
                <w:szCs w:val="18"/>
                <w:lang w:val="en-US" w:eastAsia="zh-CN"/>
              </w:rPr>
              <w:t>3.计价单位“次·日”，是指同一学科一天内提供的临床量表服务，可累计条目数量，每天只能计费一次，但同一量表或同一条目多次执行的，不以累计条目数量计费。</w:t>
            </w:r>
          </w:p>
          <w:p w14:paraId="6DA8C37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lang w:val="en-US" w:eastAsia="zh-CN"/>
              </w:rPr>
              <w:t>4</w:t>
            </w:r>
            <w:r>
              <w:rPr>
                <w:rFonts w:hint="eastAsia" w:ascii="Times New Roman" w:hAnsi="Times New Roman" w:eastAsia="仿宋_GB2312" w:cs="仿宋_GB2312"/>
                <w:color w:val="auto"/>
                <w:sz w:val="18"/>
                <w:szCs w:val="18"/>
              </w:rPr>
              <w:t>.所称“甲类评估”，是指评估条目总数∈（0,20]的临床量表评估；“乙类评估”，是指评估条目总数∈（20,40]的临床量表评估；“丙类评估”，是指评估条目总数∈（40,100]的临床量表评估；“丁类评估”，是指评估条目总数∈（100,∞]的临床量表评估。</w:t>
            </w:r>
          </w:p>
          <w:p w14:paraId="7ACE382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lang w:val="en-US" w:eastAsia="zh-CN"/>
              </w:rPr>
              <w:t>5</w:t>
            </w:r>
            <w:r>
              <w:rPr>
                <w:rFonts w:hint="eastAsia" w:ascii="Times New Roman" w:hAnsi="Times New Roman" w:eastAsia="仿宋_GB2312" w:cs="仿宋_GB2312"/>
                <w:color w:val="auto"/>
                <w:sz w:val="18"/>
                <w:szCs w:val="18"/>
              </w:rPr>
              <w:t>.所称“评估条目”是指临床评估量表中规范列出、需要作答的具体问题。评估条目属于选项式的，按1条评估条目计算，评估条目属于论述、记忆、描述等非选项式的，按评估条目2条计算。</w:t>
            </w:r>
          </w:p>
          <w:p w14:paraId="7733A86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lang w:val="en-US" w:eastAsia="zh-CN"/>
              </w:rPr>
              <w:t>6</w:t>
            </w:r>
            <w:r>
              <w:rPr>
                <w:rFonts w:hint="eastAsia" w:ascii="Times New Roman" w:hAnsi="Times New Roman" w:eastAsia="仿宋_GB2312" w:cs="仿宋_GB2312"/>
                <w:color w:val="auto"/>
                <w:sz w:val="18"/>
                <w:szCs w:val="18"/>
              </w:rPr>
              <w:t>. 所称“加收项”，指按评估条目数量分档计价。医疗机构按照实际评估条目总数所对应档次的价格标准收费，不得逐档累计、重复收费。</w:t>
            </w:r>
          </w:p>
          <w:p w14:paraId="3FC2DBB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lang w:val="en-US" w:eastAsia="zh-CN"/>
              </w:rPr>
              <w:t>7</w:t>
            </w:r>
            <w:r>
              <w:rPr>
                <w:rFonts w:hint="eastAsia" w:ascii="Times New Roman" w:hAnsi="Times New Roman" w:eastAsia="仿宋_GB2312" w:cs="仿宋_GB2312"/>
                <w:color w:val="auto"/>
                <w:sz w:val="18"/>
                <w:szCs w:val="18"/>
              </w:rPr>
              <w:t>.“基本物质消耗”包括但不限于临床量表的工本费，以及临床量表、评估设备及评估软件的版权、开发、购买等的成本。</w:t>
            </w:r>
          </w:p>
          <w:p w14:paraId="6037661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color w:val="auto"/>
                <w:sz w:val="18"/>
                <w:szCs w:val="18"/>
              </w:rPr>
            </w:pPr>
            <w:r>
              <w:rPr>
                <w:rFonts w:hint="eastAsia" w:ascii="Times New Roman" w:hAnsi="Times New Roman" w:eastAsia="仿宋_GB2312" w:cs="仿宋_GB2312"/>
                <w:color w:val="auto"/>
                <w:sz w:val="18"/>
                <w:szCs w:val="18"/>
                <w:lang w:val="en-US" w:eastAsia="zh-CN"/>
              </w:rPr>
              <w:t>8</w:t>
            </w:r>
            <w:r>
              <w:rPr>
                <w:rFonts w:hint="eastAsia" w:ascii="Times New Roman" w:hAnsi="Times New Roman" w:eastAsia="仿宋_GB2312" w:cs="仿宋_GB2312"/>
                <w:color w:val="auto"/>
                <w:sz w:val="18"/>
                <w:szCs w:val="18"/>
              </w:rPr>
              <w:t>.以6周岁以下儿童为对象进行的临床量表评估，实际是否有专业评估人员协助，均按“他评”及对应的分档标准计价。周岁的计算方法以法律的相关规定为准。</w:t>
            </w:r>
          </w:p>
          <w:p w14:paraId="32BFFD7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Times New Roman" w:hAnsi="Times New Roman" w:eastAsia="仿宋_GB2312" w:cs="仿宋_GB2312"/>
                <w:color w:val="auto"/>
                <w:sz w:val="18"/>
                <w:szCs w:val="18"/>
                <w:lang w:val="en-US" w:eastAsia="zh-CN"/>
              </w:rPr>
            </w:pPr>
            <w:r>
              <w:rPr>
                <w:rFonts w:hint="eastAsia" w:ascii="Times New Roman" w:hAnsi="Times New Roman" w:eastAsia="仿宋_GB2312" w:cs="仿宋_GB2312"/>
                <w:color w:val="auto"/>
                <w:sz w:val="18"/>
                <w:szCs w:val="18"/>
                <w:lang w:val="en-US" w:eastAsia="zh-CN"/>
              </w:rPr>
              <w:t>9.依据护理类医疗服务价格立项指南，“分级护理评估“中的评估包括但不限于压疮风险评估、跌倒/坠床风险评估、静脉血栓风险评估、日常生活能力评定、疼痛综合评定、营养风险筛查、呛咳风险评估等相关护理评估，已纳入价格构成，不作为临床量表单独立项，不额外计入收费。</w:t>
            </w:r>
          </w:p>
          <w:p w14:paraId="547B217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仿宋_GB2312" w:eastAsia="仿宋_GB2312" w:cs="仿宋_GB2312"/>
                <w:color w:val="auto"/>
                <w:sz w:val="18"/>
                <w:szCs w:val="18"/>
                <w:lang w:val="en-US" w:eastAsia="zh-CN"/>
              </w:rPr>
            </w:pPr>
          </w:p>
        </w:tc>
      </w:tr>
    </w:tbl>
    <w:p w14:paraId="31D1FCF5">
      <w:pPr>
        <w:widowControl/>
        <w:spacing w:before="156" w:beforeLines="50"/>
        <w:jc w:val="center"/>
        <w:rPr>
          <w:rFonts w:hint="eastAsia" w:ascii="方正小标宋简体" w:hAnsi="黑体" w:eastAsia="方正小标宋简体" w:cs="仿宋_GB2312"/>
          <w:color w:val="auto"/>
          <w:sz w:val="18"/>
          <w:szCs w:val="18"/>
        </w:rPr>
      </w:pPr>
    </w:p>
    <w:tbl>
      <w:tblPr>
        <w:tblStyle w:val="10"/>
        <w:tblW w:w="14331"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autofit"/>
        <w:tblCellMar>
          <w:top w:w="0" w:type="dxa"/>
          <w:left w:w="108" w:type="dxa"/>
          <w:bottom w:w="0" w:type="dxa"/>
          <w:right w:w="108" w:type="dxa"/>
        </w:tblCellMar>
      </w:tblPr>
      <w:tblGrid>
        <w:gridCol w:w="430"/>
        <w:gridCol w:w="850"/>
        <w:gridCol w:w="1928"/>
        <w:gridCol w:w="1273"/>
        <w:gridCol w:w="2116"/>
        <w:gridCol w:w="1856"/>
        <w:gridCol w:w="816"/>
        <w:gridCol w:w="816"/>
        <w:gridCol w:w="816"/>
        <w:gridCol w:w="816"/>
        <w:gridCol w:w="1946"/>
        <w:gridCol w:w="668"/>
      </w:tblGrid>
      <w:tr w14:paraId="05D5E6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40" w:hRule="atLeast"/>
          <w:tblHeader/>
          <w:jc w:val="center"/>
        </w:trPr>
        <w:tc>
          <w:tcPr>
            <w:tcW w:w="430" w:type="dxa"/>
            <w:tcBorders>
              <w:tl2br w:val="nil"/>
              <w:tr2bl w:val="nil"/>
            </w:tcBorders>
            <w:shd w:val="clear" w:color="auto" w:fill="auto"/>
            <w:vAlign w:val="center"/>
          </w:tcPr>
          <w:p w14:paraId="421EC64C">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bookmarkStart w:id="0" w:name="_GoBack"/>
            <w:r>
              <w:rPr>
                <w:rFonts w:hint="eastAsia" w:ascii="黑体" w:hAnsi="黑体" w:eastAsia="黑体" w:cs="黑体"/>
                <w:i w:val="0"/>
                <w:iCs w:val="0"/>
                <w:color w:val="000000"/>
                <w:kern w:val="0"/>
                <w:sz w:val="20"/>
                <w:szCs w:val="20"/>
                <w:u w:val="none"/>
                <w:lang w:val="en-US" w:eastAsia="zh-CN" w:bidi="ar"/>
              </w:rPr>
              <w:t>序号</w:t>
            </w:r>
          </w:p>
        </w:tc>
        <w:tc>
          <w:tcPr>
            <w:tcW w:w="850" w:type="dxa"/>
            <w:tcBorders>
              <w:tl2br w:val="nil"/>
              <w:tr2bl w:val="nil"/>
            </w:tcBorders>
            <w:shd w:val="clear" w:color="auto" w:fill="auto"/>
            <w:vAlign w:val="center"/>
          </w:tcPr>
          <w:p w14:paraId="165F7A18">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归集口径</w:t>
            </w:r>
          </w:p>
        </w:tc>
        <w:tc>
          <w:tcPr>
            <w:tcW w:w="1928" w:type="dxa"/>
            <w:tcBorders>
              <w:tl2br w:val="nil"/>
              <w:tr2bl w:val="nil"/>
            </w:tcBorders>
            <w:shd w:val="clear" w:color="auto" w:fill="auto"/>
            <w:vAlign w:val="center"/>
          </w:tcPr>
          <w:p w14:paraId="392AA180">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项目编码</w:t>
            </w:r>
          </w:p>
        </w:tc>
        <w:tc>
          <w:tcPr>
            <w:tcW w:w="1273" w:type="dxa"/>
            <w:tcBorders>
              <w:tl2br w:val="nil"/>
              <w:tr2bl w:val="nil"/>
            </w:tcBorders>
            <w:shd w:val="clear" w:color="auto" w:fill="auto"/>
            <w:vAlign w:val="center"/>
          </w:tcPr>
          <w:p w14:paraId="59861421">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项目名称</w:t>
            </w:r>
          </w:p>
        </w:tc>
        <w:tc>
          <w:tcPr>
            <w:tcW w:w="2116" w:type="dxa"/>
            <w:tcBorders>
              <w:tl2br w:val="nil"/>
              <w:tr2bl w:val="nil"/>
            </w:tcBorders>
            <w:shd w:val="clear" w:color="auto" w:fill="auto"/>
            <w:vAlign w:val="center"/>
          </w:tcPr>
          <w:p w14:paraId="2FB820CF">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服务产出</w:t>
            </w:r>
          </w:p>
        </w:tc>
        <w:tc>
          <w:tcPr>
            <w:tcW w:w="1856" w:type="dxa"/>
            <w:tcBorders>
              <w:tl2br w:val="nil"/>
              <w:tr2bl w:val="nil"/>
            </w:tcBorders>
            <w:shd w:val="clear" w:color="auto" w:fill="auto"/>
            <w:vAlign w:val="center"/>
          </w:tcPr>
          <w:p w14:paraId="78C247B4">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价格构成</w:t>
            </w:r>
          </w:p>
        </w:tc>
        <w:tc>
          <w:tcPr>
            <w:tcW w:w="816" w:type="dxa"/>
            <w:tcBorders>
              <w:tl2br w:val="nil"/>
              <w:tr2bl w:val="nil"/>
            </w:tcBorders>
            <w:shd w:val="clear" w:color="auto" w:fill="auto"/>
            <w:vAlign w:val="center"/>
          </w:tcPr>
          <w:p w14:paraId="3C562181">
            <w:pPr>
              <w:keepNext w:val="0"/>
              <w:keepLines w:val="0"/>
              <w:widowControl/>
              <w:suppressLineNumbers w:val="0"/>
              <w:jc w:val="center"/>
              <w:textAlignment w:val="center"/>
              <w:rPr>
                <w:rFonts w:hint="eastAsia" w:ascii="黑体" w:hAnsi="黑体" w:eastAsia="黑体" w:cs="黑体"/>
                <w:i w:val="0"/>
                <w:iCs w:val="0"/>
                <w:color w:val="000000"/>
                <w:kern w:val="0"/>
                <w:sz w:val="20"/>
                <w:szCs w:val="20"/>
                <w:u w:val="none"/>
                <w:lang w:val="en-US" w:eastAsia="zh-CN" w:bidi="ar"/>
              </w:rPr>
            </w:pPr>
            <w:r>
              <w:rPr>
                <w:rFonts w:hint="eastAsia" w:ascii="黑体" w:hAnsi="黑体" w:eastAsia="黑体" w:cs="黑体"/>
                <w:i w:val="0"/>
                <w:iCs w:val="0"/>
                <w:color w:val="000000"/>
                <w:kern w:val="0"/>
                <w:sz w:val="20"/>
                <w:szCs w:val="20"/>
                <w:u w:val="none"/>
                <w:lang w:val="en-US" w:eastAsia="zh-CN" w:bidi="ar"/>
              </w:rPr>
              <w:t>计价</w:t>
            </w:r>
          </w:p>
          <w:p w14:paraId="6B94B61E">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单位</w:t>
            </w:r>
          </w:p>
        </w:tc>
        <w:tc>
          <w:tcPr>
            <w:tcW w:w="816" w:type="dxa"/>
            <w:tcBorders>
              <w:tl2br w:val="nil"/>
              <w:tr2bl w:val="nil"/>
            </w:tcBorders>
            <w:shd w:val="clear" w:color="auto" w:fill="auto"/>
            <w:vAlign w:val="center"/>
          </w:tcPr>
          <w:p w14:paraId="3E13F70C">
            <w:pPr>
              <w:keepNext w:val="0"/>
              <w:keepLines w:val="0"/>
              <w:widowControl/>
              <w:suppressLineNumbers w:val="0"/>
              <w:jc w:val="center"/>
              <w:textAlignment w:val="center"/>
              <w:rPr>
                <w:rFonts w:hint="eastAsia" w:ascii="黑体" w:hAnsi="黑体" w:eastAsia="黑体" w:cs="黑体"/>
                <w:i w:val="0"/>
                <w:iCs w:val="0"/>
                <w:color w:val="000000"/>
                <w:kern w:val="0"/>
                <w:sz w:val="20"/>
                <w:szCs w:val="20"/>
                <w:u w:val="none"/>
                <w:lang w:val="en-US" w:eastAsia="zh-CN" w:bidi="ar"/>
              </w:rPr>
            </w:pPr>
            <w:r>
              <w:rPr>
                <w:rFonts w:hint="eastAsia" w:ascii="黑体" w:hAnsi="黑体" w:eastAsia="黑体" w:cs="黑体"/>
                <w:i w:val="0"/>
                <w:iCs w:val="0"/>
                <w:color w:val="000000"/>
                <w:kern w:val="0"/>
                <w:sz w:val="20"/>
                <w:szCs w:val="20"/>
                <w:u w:val="none"/>
                <w:lang w:val="en-US" w:eastAsia="zh-CN" w:bidi="ar"/>
              </w:rPr>
              <w:t>三级</w:t>
            </w:r>
          </w:p>
          <w:p w14:paraId="62BFDD1D">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价格（元）</w:t>
            </w:r>
          </w:p>
        </w:tc>
        <w:tc>
          <w:tcPr>
            <w:tcW w:w="816" w:type="dxa"/>
            <w:tcBorders>
              <w:tl2br w:val="nil"/>
              <w:tr2bl w:val="nil"/>
            </w:tcBorders>
            <w:shd w:val="clear" w:color="auto" w:fill="auto"/>
            <w:vAlign w:val="center"/>
          </w:tcPr>
          <w:p w14:paraId="212EBF99">
            <w:pPr>
              <w:keepNext w:val="0"/>
              <w:keepLines w:val="0"/>
              <w:widowControl/>
              <w:suppressLineNumbers w:val="0"/>
              <w:jc w:val="center"/>
              <w:textAlignment w:val="center"/>
              <w:rPr>
                <w:rFonts w:hint="eastAsia" w:ascii="黑体" w:hAnsi="黑体" w:eastAsia="黑体" w:cs="黑体"/>
                <w:i w:val="0"/>
                <w:iCs w:val="0"/>
                <w:color w:val="000000"/>
                <w:kern w:val="0"/>
                <w:sz w:val="20"/>
                <w:szCs w:val="20"/>
                <w:u w:val="none"/>
                <w:lang w:val="en-US" w:eastAsia="zh-CN" w:bidi="ar"/>
              </w:rPr>
            </w:pPr>
            <w:r>
              <w:rPr>
                <w:rFonts w:hint="eastAsia" w:ascii="黑体" w:hAnsi="黑体" w:eastAsia="黑体" w:cs="黑体"/>
                <w:i w:val="0"/>
                <w:iCs w:val="0"/>
                <w:color w:val="000000"/>
                <w:kern w:val="0"/>
                <w:sz w:val="20"/>
                <w:szCs w:val="20"/>
                <w:u w:val="none"/>
                <w:lang w:val="en-US" w:eastAsia="zh-CN" w:bidi="ar"/>
              </w:rPr>
              <w:t>二级</w:t>
            </w:r>
          </w:p>
          <w:p w14:paraId="42F06078">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价格（元）</w:t>
            </w:r>
          </w:p>
        </w:tc>
        <w:tc>
          <w:tcPr>
            <w:tcW w:w="816" w:type="dxa"/>
            <w:tcBorders>
              <w:tl2br w:val="nil"/>
              <w:tr2bl w:val="nil"/>
            </w:tcBorders>
            <w:shd w:val="clear" w:color="auto" w:fill="auto"/>
            <w:vAlign w:val="center"/>
          </w:tcPr>
          <w:p w14:paraId="216E6044">
            <w:pPr>
              <w:keepNext w:val="0"/>
              <w:keepLines w:val="0"/>
              <w:widowControl/>
              <w:suppressLineNumbers w:val="0"/>
              <w:jc w:val="center"/>
              <w:textAlignment w:val="center"/>
              <w:rPr>
                <w:rFonts w:hint="eastAsia" w:ascii="黑体" w:hAnsi="黑体" w:eastAsia="黑体" w:cs="黑体"/>
                <w:i w:val="0"/>
                <w:iCs w:val="0"/>
                <w:color w:val="000000"/>
                <w:kern w:val="0"/>
                <w:sz w:val="20"/>
                <w:szCs w:val="20"/>
                <w:u w:val="none"/>
                <w:lang w:val="en-US" w:eastAsia="zh-CN" w:bidi="ar"/>
              </w:rPr>
            </w:pPr>
            <w:r>
              <w:rPr>
                <w:rFonts w:hint="eastAsia" w:ascii="黑体" w:hAnsi="黑体" w:eastAsia="黑体" w:cs="黑体"/>
                <w:i w:val="0"/>
                <w:iCs w:val="0"/>
                <w:color w:val="000000"/>
                <w:kern w:val="0"/>
                <w:sz w:val="20"/>
                <w:szCs w:val="20"/>
                <w:u w:val="none"/>
                <w:lang w:val="en-US" w:eastAsia="zh-CN" w:bidi="ar"/>
              </w:rPr>
              <w:t>一级</w:t>
            </w:r>
          </w:p>
          <w:p w14:paraId="7B88F254">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价格（元）</w:t>
            </w:r>
          </w:p>
        </w:tc>
        <w:tc>
          <w:tcPr>
            <w:tcW w:w="1946" w:type="dxa"/>
            <w:tcBorders>
              <w:tl2br w:val="nil"/>
              <w:tr2bl w:val="nil"/>
            </w:tcBorders>
            <w:shd w:val="clear" w:color="auto" w:fill="auto"/>
            <w:vAlign w:val="center"/>
          </w:tcPr>
          <w:p w14:paraId="5D32E34C">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计价说明</w:t>
            </w:r>
          </w:p>
        </w:tc>
        <w:tc>
          <w:tcPr>
            <w:tcW w:w="668" w:type="dxa"/>
            <w:tcBorders>
              <w:tl2br w:val="nil"/>
              <w:tr2bl w:val="nil"/>
            </w:tcBorders>
            <w:shd w:val="clear" w:color="auto" w:fill="auto"/>
            <w:vAlign w:val="center"/>
          </w:tcPr>
          <w:p w14:paraId="3C58F6CC">
            <w:pPr>
              <w:keepNext w:val="0"/>
              <w:keepLines w:val="0"/>
              <w:widowControl/>
              <w:suppressLineNumbers w:val="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医保支付类别</w:t>
            </w:r>
          </w:p>
        </w:tc>
      </w:tr>
      <w:tr w14:paraId="6762B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34F1D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0" w:type="dxa"/>
            <w:tcBorders>
              <w:tl2br w:val="nil"/>
              <w:tr2bl w:val="nil"/>
            </w:tcBorders>
            <w:shd w:val="clear" w:color="auto" w:fill="auto"/>
            <w:vAlign w:val="center"/>
          </w:tcPr>
          <w:p w14:paraId="52840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10C1924F">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011102010010000</w:t>
            </w:r>
          </w:p>
        </w:tc>
        <w:tc>
          <w:tcPr>
            <w:tcW w:w="1273" w:type="dxa"/>
            <w:tcBorders>
              <w:tl2br w:val="nil"/>
              <w:tr2bl w:val="nil"/>
            </w:tcBorders>
            <w:shd w:val="clear" w:color="auto" w:fill="auto"/>
            <w:vAlign w:val="center"/>
          </w:tcPr>
          <w:p w14:paraId="1BE1D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临床量表评估（自评）</w:t>
            </w:r>
          </w:p>
        </w:tc>
        <w:tc>
          <w:tcPr>
            <w:tcW w:w="2116" w:type="dxa"/>
            <w:tcBorders>
              <w:tl2br w:val="nil"/>
              <w:tr2bl w:val="nil"/>
            </w:tcBorders>
            <w:shd w:val="clear" w:color="auto" w:fill="auto"/>
            <w:vAlign w:val="center"/>
          </w:tcPr>
          <w:p w14:paraId="3B25388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基于患者自主完成的临床量表，对患者生理或心理的功能状态形成评估结论。</w:t>
            </w:r>
          </w:p>
        </w:tc>
        <w:tc>
          <w:tcPr>
            <w:tcW w:w="1856" w:type="dxa"/>
            <w:tcBorders>
              <w:tl2br w:val="nil"/>
              <w:tr2bl w:val="nil"/>
            </w:tcBorders>
            <w:shd w:val="clear" w:color="auto" w:fill="auto"/>
            <w:vAlign w:val="center"/>
          </w:tcPr>
          <w:p w14:paraId="2207E02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1B5C2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4729E3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16" w:type="dxa"/>
            <w:tcBorders>
              <w:tl2br w:val="nil"/>
              <w:tr2bl w:val="nil"/>
            </w:tcBorders>
            <w:shd w:val="clear" w:color="auto" w:fill="auto"/>
            <w:vAlign w:val="center"/>
          </w:tcPr>
          <w:p w14:paraId="161E9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816" w:type="dxa"/>
            <w:tcBorders>
              <w:tl2br w:val="nil"/>
              <w:tr2bl w:val="nil"/>
            </w:tcBorders>
            <w:shd w:val="clear" w:color="auto" w:fill="auto"/>
            <w:vAlign w:val="center"/>
          </w:tcPr>
          <w:p w14:paraId="7DCDB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46" w:type="dxa"/>
            <w:tcBorders>
              <w:tl2br w:val="nil"/>
              <w:tr2bl w:val="nil"/>
            </w:tcBorders>
            <w:shd w:val="clear" w:color="auto" w:fill="auto"/>
            <w:vAlign w:val="center"/>
          </w:tcPr>
          <w:p w14:paraId="0A9E382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1.不同学科且不重复的临床量表评估科分别计价。2.乙类评估加收50%，丙类评估加收100%，丁类评估加收200%。</w:t>
            </w:r>
          </w:p>
        </w:tc>
        <w:tc>
          <w:tcPr>
            <w:tcW w:w="668" w:type="dxa"/>
            <w:tcBorders>
              <w:tl2br w:val="nil"/>
              <w:tr2bl w:val="nil"/>
            </w:tcBorders>
            <w:shd w:val="clear" w:color="auto" w:fill="auto"/>
            <w:vAlign w:val="center"/>
          </w:tcPr>
          <w:p w14:paraId="295B3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CE7FC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66618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0" w:type="dxa"/>
            <w:tcBorders>
              <w:tl2br w:val="nil"/>
              <w:tr2bl w:val="nil"/>
            </w:tcBorders>
            <w:shd w:val="clear" w:color="auto" w:fill="auto"/>
            <w:vAlign w:val="center"/>
          </w:tcPr>
          <w:p w14:paraId="4B73FA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576B7C41">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011102010010001</w:t>
            </w:r>
          </w:p>
        </w:tc>
        <w:tc>
          <w:tcPr>
            <w:tcW w:w="1273" w:type="dxa"/>
            <w:tcBorders>
              <w:tl2br w:val="nil"/>
              <w:tr2bl w:val="nil"/>
            </w:tcBorders>
            <w:shd w:val="clear" w:color="auto" w:fill="auto"/>
            <w:vAlign w:val="center"/>
          </w:tcPr>
          <w:p w14:paraId="245F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临床量表评估(自评)-乙类评估(加收)</w:t>
            </w:r>
          </w:p>
        </w:tc>
        <w:tc>
          <w:tcPr>
            <w:tcW w:w="2116" w:type="dxa"/>
            <w:tcBorders>
              <w:tl2br w:val="nil"/>
              <w:tr2bl w:val="nil"/>
            </w:tcBorders>
            <w:shd w:val="clear" w:color="auto" w:fill="auto"/>
            <w:vAlign w:val="center"/>
          </w:tcPr>
          <w:p w14:paraId="2F1A46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基于患者自主完成的临床量表，对患者生理或心理的功能状态形成评估结论。评估条目总数在（20,40]之间。</w:t>
            </w:r>
          </w:p>
        </w:tc>
        <w:tc>
          <w:tcPr>
            <w:tcW w:w="1856" w:type="dxa"/>
            <w:tcBorders>
              <w:tl2br w:val="nil"/>
              <w:tr2bl w:val="nil"/>
            </w:tcBorders>
            <w:shd w:val="clear" w:color="auto" w:fill="auto"/>
            <w:vAlign w:val="center"/>
          </w:tcPr>
          <w:p w14:paraId="3795717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25AE2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16262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816" w:type="dxa"/>
            <w:tcBorders>
              <w:tl2br w:val="nil"/>
              <w:tr2bl w:val="nil"/>
            </w:tcBorders>
            <w:shd w:val="clear" w:color="auto" w:fill="auto"/>
            <w:vAlign w:val="center"/>
          </w:tcPr>
          <w:p w14:paraId="4EE4D5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816" w:type="dxa"/>
            <w:tcBorders>
              <w:tl2br w:val="nil"/>
              <w:tr2bl w:val="nil"/>
            </w:tcBorders>
            <w:shd w:val="clear" w:color="auto" w:fill="auto"/>
            <w:vAlign w:val="center"/>
          </w:tcPr>
          <w:p w14:paraId="199A3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46" w:type="dxa"/>
            <w:tcBorders>
              <w:tl2br w:val="nil"/>
              <w:tr2bl w:val="nil"/>
            </w:tcBorders>
            <w:shd w:val="clear" w:color="auto" w:fill="auto"/>
            <w:vAlign w:val="center"/>
          </w:tcPr>
          <w:p w14:paraId="05B8867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79F4B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5BD5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045B3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0" w:type="dxa"/>
            <w:tcBorders>
              <w:tl2br w:val="nil"/>
              <w:tr2bl w:val="nil"/>
            </w:tcBorders>
            <w:shd w:val="clear" w:color="auto" w:fill="auto"/>
            <w:vAlign w:val="center"/>
          </w:tcPr>
          <w:p w14:paraId="7CF99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37DDFEF9">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011102010010002</w:t>
            </w:r>
          </w:p>
        </w:tc>
        <w:tc>
          <w:tcPr>
            <w:tcW w:w="1273" w:type="dxa"/>
            <w:tcBorders>
              <w:tl2br w:val="nil"/>
              <w:tr2bl w:val="nil"/>
            </w:tcBorders>
            <w:shd w:val="clear" w:color="auto" w:fill="auto"/>
            <w:vAlign w:val="center"/>
          </w:tcPr>
          <w:p w14:paraId="54CEF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临床量表评估(自评)-丙类评估(加收)</w:t>
            </w:r>
          </w:p>
        </w:tc>
        <w:tc>
          <w:tcPr>
            <w:tcW w:w="2116" w:type="dxa"/>
            <w:tcBorders>
              <w:tl2br w:val="nil"/>
              <w:tr2bl w:val="nil"/>
            </w:tcBorders>
            <w:shd w:val="clear" w:color="auto" w:fill="auto"/>
            <w:vAlign w:val="center"/>
          </w:tcPr>
          <w:p w14:paraId="27D1774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基于患者自主完成的临床量表，对患者生理或心理的功能状态形成评估结论。评估条目总数在（40,100]之间。</w:t>
            </w:r>
          </w:p>
        </w:tc>
        <w:tc>
          <w:tcPr>
            <w:tcW w:w="1856" w:type="dxa"/>
            <w:tcBorders>
              <w:tl2br w:val="nil"/>
              <w:tr2bl w:val="nil"/>
            </w:tcBorders>
            <w:shd w:val="clear" w:color="auto" w:fill="auto"/>
            <w:vAlign w:val="center"/>
          </w:tcPr>
          <w:p w14:paraId="6A6CFC9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1E07EA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311FB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16" w:type="dxa"/>
            <w:tcBorders>
              <w:tl2br w:val="nil"/>
              <w:tr2bl w:val="nil"/>
            </w:tcBorders>
            <w:shd w:val="clear" w:color="auto" w:fill="auto"/>
            <w:vAlign w:val="center"/>
          </w:tcPr>
          <w:p w14:paraId="34B69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816" w:type="dxa"/>
            <w:tcBorders>
              <w:tl2br w:val="nil"/>
              <w:tr2bl w:val="nil"/>
            </w:tcBorders>
            <w:shd w:val="clear" w:color="auto" w:fill="auto"/>
            <w:vAlign w:val="center"/>
          </w:tcPr>
          <w:p w14:paraId="0A648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46" w:type="dxa"/>
            <w:tcBorders>
              <w:tl2br w:val="nil"/>
              <w:tr2bl w:val="nil"/>
            </w:tcBorders>
            <w:shd w:val="clear" w:color="auto" w:fill="auto"/>
            <w:vAlign w:val="center"/>
          </w:tcPr>
          <w:p w14:paraId="6A1A200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252D6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F284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758DA8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0" w:type="dxa"/>
            <w:tcBorders>
              <w:tl2br w:val="nil"/>
              <w:tr2bl w:val="nil"/>
            </w:tcBorders>
            <w:shd w:val="clear" w:color="auto" w:fill="auto"/>
            <w:vAlign w:val="center"/>
          </w:tcPr>
          <w:p w14:paraId="74032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54C164F9">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011102010010003</w:t>
            </w:r>
          </w:p>
        </w:tc>
        <w:tc>
          <w:tcPr>
            <w:tcW w:w="1273" w:type="dxa"/>
            <w:tcBorders>
              <w:tl2br w:val="nil"/>
              <w:tr2bl w:val="nil"/>
            </w:tcBorders>
            <w:shd w:val="clear" w:color="auto" w:fill="auto"/>
            <w:vAlign w:val="center"/>
          </w:tcPr>
          <w:p w14:paraId="35FB3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临床量表评估(自评)-丁类评估(加收)</w:t>
            </w:r>
          </w:p>
        </w:tc>
        <w:tc>
          <w:tcPr>
            <w:tcW w:w="2116" w:type="dxa"/>
            <w:tcBorders>
              <w:tl2br w:val="nil"/>
              <w:tr2bl w:val="nil"/>
            </w:tcBorders>
            <w:shd w:val="clear" w:color="auto" w:fill="auto"/>
            <w:vAlign w:val="center"/>
          </w:tcPr>
          <w:p w14:paraId="4CF0C28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基于患者自主完成的临床量表，对患者生理或心理的功能状态形成评估结论。评估条目总数100条以上。</w:t>
            </w:r>
          </w:p>
        </w:tc>
        <w:tc>
          <w:tcPr>
            <w:tcW w:w="1856" w:type="dxa"/>
            <w:tcBorders>
              <w:tl2br w:val="nil"/>
              <w:tr2bl w:val="nil"/>
            </w:tcBorders>
            <w:shd w:val="clear" w:color="auto" w:fill="auto"/>
            <w:vAlign w:val="center"/>
          </w:tcPr>
          <w:p w14:paraId="7909644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60FB9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5EF57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16" w:type="dxa"/>
            <w:tcBorders>
              <w:tl2br w:val="nil"/>
              <w:tr2bl w:val="nil"/>
            </w:tcBorders>
            <w:shd w:val="clear" w:color="auto" w:fill="auto"/>
            <w:vAlign w:val="center"/>
          </w:tcPr>
          <w:p w14:paraId="5EABA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l2br w:val="nil"/>
              <w:tr2bl w:val="nil"/>
            </w:tcBorders>
            <w:shd w:val="clear" w:color="auto" w:fill="auto"/>
            <w:vAlign w:val="center"/>
          </w:tcPr>
          <w:p w14:paraId="76994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46" w:type="dxa"/>
            <w:tcBorders>
              <w:tl2br w:val="nil"/>
              <w:tr2bl w:val="nil"/>
            </w:tcBorders>
            <w:shd w:val="clear" w:color="auto" w:fill="auto"/>
            <w:vAlign w:val="center"/>
          </w:tcPr>
          <w:p w14:paraId="256F7FE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53C72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5289B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1EC1F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0" w:type="dxa"/>
            <w:tcBorders>
              <w:tl2br w:val="nil"/>
              <w:tr2bl w:val="nil"/>
            </w:tcBorders>
            <w:shd w:val="clear" w:color="auto" w:fill="auto"/>
            <w:vAlign w:val="center"/>
          </w:tcPr>
          <w:p w14:paraId="053A5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21611DC2">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011102010010100</w:t>
            </w:r>
          </w:p>
        </w:tc>
        <w:tc>
          <w:tcPr>
            <w:tcW w:w="1273" w:type="dxa"/>
            <w:tcBorders>
              <w:tl2br w:val="nil"/>
              <w:tr2bl w:val="nil"/>
            </w:tcBorders>
            <w:shd w:val="clear" w:color="auto" w:fill="auto"/>
            <w:vAlign w:val="center"/>
          </w:tcPr>
          <w:p w14:paraId="62416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临床量表评估(自评)-应用人工智能辅助的自评(扩展)</w:t>
            </w:r>
          </w:p>
        </w:tc>
        <w:tc>
          <w:tcPr>
            <w:tcW w:w="2116" w:type="dxa"/>
            <w:tcBorders>
              <w:tl2br w:val="nil"/>
              <w:tr2bl w:val="nil"/>
            </w:tcBorders>
            <w:shd w:val="clear" w:color="auto" w:fill="auto"/>
            <w:vAlign w:val="center"/>
          </w:tcPr>
          <w:p w14:paraId="064E828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基于患者应用人工智能辅助自主完成的临床量表，对患者生理或心理的功能状态形成评估结论。</w:t>
            </w:r>
          </w:p>
        </w:tc>
        <w:tc>
          <w:tcPr>
            <w:tcW w:w="1856" w:type="dxa"/>
            <w:tcBorders>
              <w:tl2br w:val="nil"/>
              <w:tr2bl w:val="nil"/>
            </w:tcBorders>
            <w:shd w:val="clear" w:color="auto" w:fill="auto"/>
            <w:vAlign w:val="center"/>
          </w:tcPr>
          <w:p w14:paraId="57A0B0D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70AE6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682315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16" w:type="dxa"/>
            <w:tcBorders>
              <w:tl2br w:val="nil"/>
              <w:tr2bl w:val="nil"/>
            </w:tcBorders>
            <w:shd w:val="clear" w:color="auto" w:fill="auto"/>
            <w:vAlign w:val="center"/>
          </w:tcPr>
          <w:p w14:paraId="597F3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816" w:type="dxa"/>
            <w:tcBorders>
              <w:tl2br w:val="nil"/>
              <w:tr2bl w:val="nil"/>
            </w:tcBorders>
            <w:shd w:val="clear" w:color="auto" w:fill="auto"/>
            <w:vAlign w:val="center"/>
          </w:tcPr>
          <w:p w14:paraId="5E457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46" w:type="dxa"/>
            <w:tcBorders>
              <w:tl2br w:val="nil"/>
              <w:tr2bl w:val="nil"/>
            </w:tcBorders>
            <w:shd w:val="clear" w:color="auto" w:fill="auto"/>
            <w:vAlign w:val="center"/>
          </w:tcPr>
          <w:p w14:paraId="3F55B16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2CE21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3BB2D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6C9F23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0" w:type="dxa"/>
            <w:tcBorders>
              <w:tl2br w:val="nil"/>
              <w:tr2bl w:val="nil"/>
            </w:tcBorders>
            <w:shd w:val="clear" w:color="auto" w:fill="auto"/>
            <w:vAlign w:val="center"/>
          </w:tcPr>
          <w:p w14:paraId="55DD6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0C357BBD">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011102010020000</w:t>
            </w:r>
          </w:p>
        </w:tc>
        <w:tc>
          <w:tcPr>
            <w:tcW w:w="1273" w:type="dxa"/>
            <w:tcBorders>
              <w:tl2br w:val="nil"/>
              <w:tr2bl w:val="nil"/>
            </w:tcBorders>
            <w:shd w:val="clear" w:color="auto" w:fill="auto"/>
            <w:vAlign w:val="center"/>
          </w:tcPr>
          <w:p w14:paraId="5CA69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临床量表评估（他评）</w:t>
            </w:r>
          </w:p>
        </w:tc>
        <w:tc>
          <w:tcPr>
            <w:tcW w:w="2116" w:type="dxa"/>
            <w:tcBorders>
              <w:tl2br w:val="nil"/>
              <w:tr2bl w:val="nil"/>
            </w:tcBorders>
            <w:shd w:val="clear" w:color="auto" w:fill="auto"/>
            <w:vAlign w:val="center"/>
          </w:tcPr>
          <w:p w14:paraId="5D79F7C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基于专业评估人员协助患者完成的临床量表，对患者生理或心理的功能状态形成评估结论。</w:t>
            </w:r>
          </w:p>
        </w:tc>
        <w:tc>
          <w:tcPr>
            <w:tcW w:w="1856" w:type="dxa"/>
            <w:tcBorders>
              <w:tl2br w:val="nil"/>
              <w:tr2bl w:val="nil"/>
            </w:tcBorders>
            <w:shd w:val="clear" w:color="auto" w:fill="auto"/>
            <w:vAlign w:val="center"/>
          </w:tcPr>
          <w:p w14:paraId="094AEB9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5F2FB4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14463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16" w:type="dxa"/>
            <w:tcBorders>
              <w:tl2br w:val="nil"/>
              <w:tr2bl w:val="nil"/>
            </w:tcBorders>
            <w:shd w:val="clear" w:color="auto" w:fill="auto"/>
            <w:vAlign w:val="center"/>
          </w:tcPr>
          <w:p w14:paraId="62A8AC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816" w:type="dxa"/>
            <w:tcBorders>
              <w:tl2br w:val="nil"/>
              <w:tr2bl w:val="nil"/>
            </w:tcBorders>
            <w:shd w:val="clear" w:color="auto" w:fill="auto"/>
            <w:vAlign w:val="center"/>
          </w:tcPr>
          <w:p w14:paraId="2897E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46" w:type="dxa"/>
            <w:tcBorders>
              <w:tl2br w:val="nil"/>
              <w:tr2bl w:val="nil"/>
            </w:tcBorders>
            <w:shd w:val="clear" w:color="auto" w:fill="auto"/>
            <w:vAlign w:val="center"/>
          </w:tcPr>
          <w:p w14:paraId="0010559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1.不同学科且不重复的临床量表评估科分别计价。2.乙类评估加收50%，丙类评估加收100%，丁类评估加收200%。</w:t>
            </w:r>
          </w:p>
        </w:tc>
        <w:tc>
          <w:tcPr>
            <w:tcW w:w="668" w:type="dxa"/>
            <w:tcBorders>
              <w:tl2br w:val="nil"/>
              <w:tr2bl w:val="nil"/>
            </w:tcBorders>
            <w:shd w:val="clear" w:color="auto" w:fill="auto"/>
            <w:vAlign w:val="center"/>
          </w:tcPr>
          <w:p w14:paraId="07172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EC87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02945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50" w:type="dxa"/>
            <w:tcBorders>
              <w:tl2br w:val="nil"/>
              <w:tr2bl w:val="nil"/>
            </w:tcBorders>
            <w:shd w:val="clear" w:color="auto" w:fill="auto"/>
            <w:vAlign w:val="center"/>
          </w:tcPr>
          <w:p w14:paraId="3F518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6B443A75">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011102010020001</w:t>
            </w:r>
          </w:p>
        </w:tc>
        <w:tc>
          <w:tcPr>
            <w:tcW w:w="1273" w:type="dxa"/>
            <w:tcBorders>
              <w:tl2br w:val="nil"/>
              <w:tr2bl w:val="nil"/>
            </w:tcBorders>
            <w:shd w:val="clear" w:color="auto" w:fill="auto"/>
            <w:vAlign w:val="center"/>
          </w:tcPr>
          <w:p w14:paraId="24D87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临床量表评估(他评)-乙类评估(加收)</w:t>
            </w:r>
          </w:p>
        </w:tc>
        <w:tc>
          <w:tcPr>
            <w:tcW w:w="2116" w:type="dxa"/>
            <w:tcBorders>
              <w:tl2br w:val="nil"/>
              <w:tr2bl w:val="nil"/>
            </w:tcBorders>
            <w:shd w:val="clear" w:color="auto" w:fill="auto"/>
            <w:vAlign w:val="center"/>
          </w:tcPr>
          <w:p w14:paraId="65973AD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基于专业评估人员协助患者完成的临床量表，对患者生理或心理的功能状态形成评估结论。评估条目总数在（20,40]之间。</w:t>
            </w:r>
          </w:p>
        </w:tc>
        <w:tc>
          <w:tcPr>
            <w:tcW w:w="1856" w:type="dxa"/>
            <w:tcBorders>
              <w:tl2br w:val="nil"/>
              <w:tr2bl w:val="nil"/>
            </w:tcBorders>
            <w:shd w:val="clear" w:color="auto" w:fill="auto"/>
            <w:vAlign w:val="center"/>
          </w:tcPr>
          <w:p w14:paraId="787B8F1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2858B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08330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816" w:type="dxa"/>
            <w:tcBorders>
              <w:tl2br w:val="nil"/>
              <w:tr2bl w:val="nil"/>
            </w:tcBorders>
            <w:shd w:val="clear" w:color="auto" w:fill="auto"/>
            <w:vAlign w:val="center"/>
          </w:tcPr>
          <w:p w14:paraId="2B27D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816" w:type="dxa"/>
            <w:tcBorders>
              <w:tl2br w:val="nil"/>
              <w:tr2bl w:val="nil"/>
            </w:tcBorders>
            <w:shd w:val="clear" w:color="auto" w:fill="auto"/>
            <w:vAlign w:val="center"/>
          </w:tcPr>
          <w:p w14:paraId="51E64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46" w:type="dxa"/>
            <w:tcBorders>
              <w:tl2br w:val="nil"/>
              <w:tr2bl w:val="nil"/>
            </w:tcBorders>
            <w:shd w:val="clear" w:color="auto" w:fill="auto"/>
            <w:vAlign w:val="center"/>
          </w:tcPr>
          <w:p w14:paraId="2DCC0E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53F6F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6144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780CD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0" w:type="dxa"/>
            <w:tcBorders>
              <w:tl2br w:val="nil"/>
              <w:tr2bl w:val="nil"/>
            </w:tcBorders>
            <w:shd w:val="clear" w:color="auto" w:fill="auto"/>
            <w:vAlign w:val="center"/>
          </w:tcPr>
          <w:p w14:paraId="54E5F7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3F2BEF32">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011102010020002</w:t>
            </w:r>
          </w:p>
        </w:tc>
        <w:tc>
          <w:tcPr>
            <w:tcW w:w="1273" w:type="dxa"/>
            <w:tcBorders>
              <w:tl2br w:val="nil"/>
              <w:tr2bl w:val="nil"/>
            </w:tcBorders>
            <w:shd w:val="clear" w:color="auto" w:fill="auto"/>
            <w:vAlign w:val="center"/>
          </w:tcPr>
          <w:p w14:paraId="71BB9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临床量表评估(他评)-丙类评估(加收)</w:t>
            </w:r>
          </w:p>
        </w:tc>
        <w:tc>
          <w:tcPr>
            <w:tcW w:w="2116" w:type="dxa"/>
            <w:tcBorders>
              <w:tl2br w:val="nil"/>
              <w:tr2bl w:val="nil"/>
            </w:tcBorders>
            <w:shd w:val="clear" w:color="auto" w:fill="auto"/>
            <w:vAlign w:val="center"/>
          </w:tcPr>
          <w:p w14:paraId="4E9B0E8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基于专业评估人员协助患者完成的临床量表，对患者生理或心理的功能状态形成评估结论。评估条目总数在（40,100]之间。</w:t>
            </w:r>
          </w:p>
        </w:tc>
        <w:tc>
          <w:tcPr>
            <w:tcW w:w="1856" w:type="dxa"/>
            <w:tcBorders>
              <w:tl2br w:val="nil"/>
              <w:tr2bl w:val="nil"/>
            </w:tcBorders>
            <w:shd w:val="clear" w:color="auto" w:fill="auto"/>
            <w:vAlign w:val="center"/>
          </w:tcPr>
          <w:p w14:paraId="0426CDF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66088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12EF1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16" w:type="dxa"/>
            <w:tcBorders>
              <w:tl2br w:val="nil"/>
              <w:tr2bl w:val="nil"/>
            </w:tcBorders>
            <w:shd w:val="clear" w:color="auto" w:fill="auto"/>
            <w:vAlign w:val="center"/>
          </w:tcPr>
          <w:p w14:paraId="0DAF1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816" w:type="dxa"/>
            <w:tcBorders>
              <w:tl2br w:val="nil"/>
              <w:tr2bl w:val="nil"/>
            </w:tcBorders>
            <w:shd w:val="clear" w:color="auto" w:fill="auto"/>
            <w:vAlign w:val="center"/>
          </w:tcPr>
          <w:p w14:paraId="12F66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46" w:type="dxa"/>
            <w:tcBorders>
              <w:tl2br w:val="nil"/>
              <w:tr2bl w:val="nil"/>
            </w:tcBorders>
            <w:shd w:val="clear" w:color="auto" w:fill="auto"/>
            <w:vAlign w:val="center"/>
          </w:tcPr>
          <w:p w14:paraId="00CA122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75F5B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76A6A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44AC76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0" w:type="dxa"/>
            <w:tcBorders>
              <w:tl2br w:val="nil"/>
              <w:tr2bl w:val="nil"/>
            </w:tcBorders>
            <w:shd w:val="clear" w:color="auto" w:fill="auto"/>
            <w:vAlign w:val="center"/>
          </w:tcPr>
          <w:p w14:paraId="42487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504DE2E7">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011102010020003</w:t>
            </w:r>
          </w:p>
        </w:tc>
        <w:tc>
          <w:tcPr>
            <w:tcW w:w="1273" w:type="dxa"/>
            <w:tcBorders>
              <w:tl2br w:val="nil"/>
              <w:tr2bl w:val="nil"/>
            </w:tcBorders>
            <w:shd w:val="clear" w:color="auto" w:fill="auto"/>
            <w:vAlign w:val="center"/>
          </w:tcPr>
          <w:p w14:paraId="615EF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临床量表评估(他评)-丁类评估(加收)</w:t>
            </w:r>
          </w:p>
        </w:tc>
        <w:tc>
          <w:tcPr>
            <w:tcW w:w="2116" w:type="dxa"/>
            <w:tcBorders>
              <w:tl2br w:val="nil"/>
              <w:tr2bl w:val="nil"/>
            </w:tcBorders>
            <w:shd w:val="clear" w:color="auto" w:fill="auto"/>
            <w:vAlign w:val="center"/>
          </w:tcPr>
          <w:p w14:paraId="518A931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基于专业评估人员协助患者完成的临床量表，对患者生理或心理的功能状态形成评估结论。评估条目总数大于100条。</w:t>
            </w:r>
          </w:p>
        </w:tc>
        <w:tc>
          <w:tcPr>
            <w:tcW w:w="1856" w:type="dxa"/>
            <w:tcBorders>
              <w:tl2br w:val="nil"/>
              <w:tr2bl w:val="nil"/>
            </w:tcBorders>
            <w:shd w:val="clear" w:color="auto" w:fill="auto"/>
            <w:vAlign w:val="center"/>
          </w:tcPr>
          <w:p w14:paraId="129B3E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7D7479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40588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16" w:type="dxa"/>
            <w:tcBorders>
              <w:tl2br w:val="nil"/>
              <w:tr2bl w:val="nil"/>
            </w:tcBorders>
            <w:shd w:val="clear" w:color="auto" w:fill="auto"/>
            <w:vAlign w:val="center"/>
          </w:tcPr>
          <w:p w14:paraId="6BEC91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16" w:type="dxa"/>
            <w:tcBorders>
              <w:tl2br w:val="nil"/>
              <w:tr2bl w:val="nil"/>
            </w:tcBorders>
            <w:shd w:val="clear" w:color="auto" w:fill="auto"/>
            <w:vAlign w:val="center"/>
          </w:tcPr>
          <w:p w14:paraId="1B63D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946" w:type="dxa"/>
            <w:tcBorders>
              <w:tl2br w:val="nil"/>
              <w:tr2bl w:val="nil"/>
            </w:tcBorders>
            <w:shd w:val="clear" w:color="auto" w:fill="auto"/>
            <w:vAlign w:val="center"/>
          </w:tcPr>
          <w:p w14:paraId="72661DE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20508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5077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5" w:hRule="atLeast"/>
          <w:jc w:val="center"/>
        </w:trPr>
        <w:tc>
          <w:tcPr>
            <w:tcW w:w="430" w:type="dxa"/>
            <w:tcBorders>
              <w:tl2br w:val="nil"/>
              <w:tr2bl w:val="nil"/>
            </w:tcBorders>
            <w:shd w:val="clear" w:color="auto" w:fill="auto"/>
            <w:vAlign w:val="center"/>
          </w:tcPr>
          <w:p w14:paraId="067C1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0" w:type="dxa"/>
            <w:tcBorders>
              <w:tl2br w:val="nil"/>
              <w:tr2bl w:val="nil"/>
            </w:tcBorders>
            <w:shd w:val="clear" w:color="auto" w:fill="auto"/>
            <w:vAlign w:val="center"/>
          </w:tcPr>
          <w:p w14:paraId="56F45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691163A5">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011102010020100</w:t>
            </w:r>
          </w:p>
        </w:tc>
        <w:tc>
          <w:tcPr>
            <w:tcW w:w="1273" w:type="dxa"/>
            <w:tcBorders>
              <w:tl2br w:val="nil"/>
              <w:tr2bl w:val="nil"/>
            </w:tcBorders>
            <w:shd w:val="clear" w:color="auto" w:fill="auto"/>
            <w:vAlign w:val="center"/>
          </w:tcPr>
          <w:p w14:paraId="53402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临床量表评估(他评)-应用人工智能辅助的他评(扩展)</w:t>
            </w:r>
          </w:p>
        </w:tc>
        <w:tc>
          <w:tcPr>
            <w:tcW w:w="2116" w:type="dxa"/>
            <w:tcBorders>
              <w:tl2br w:val="nil"/>
              <w:tr2bl w:val="nil"/>
            </w:tcBorders>
            <w:shd w:val="clear" w:color="auto" w:fill="auto"/>
            <w:vAlign w:val="center"/>
          </w:tcPr>
          <w:p w14:paraId="52B7444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基于专业评估人员应用人工智能辅助协助患者完成的临床量表，对患者生理或心理的功能状态形成评估结论。</w:t>
            </w:r>
          </w:p>
        </w:tc>
        <w:tc>
          <w:tcPr>
            <w:tcW w:w="1856" w:type="dxa"/>
            <w:tcBorders>
              <w:tl2br w:val="nil"/>
              <w:tr2bl w:val="nil"/>
            </w:tcBorders>
            <w:shd w:val="clear" w:color="auto" w:fill="auto"/>
            <w:vAlign w:val="center"/>
          </w:tcPr>
          <w:p w14:paraId="5703C08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11B12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544147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16" w:type="dxa"/>
            <w:tcBorders>
              <w:tl2br w:val="nil"/>
              <w:tr2bl w:val="nil"/>
            </w:tcBorders>
            <w:shd w:val="clear" w:color="auto" w:fill="auto"/>
            <w:vAlign w:val="center"/>
          </w:tcPr>
          <w:p w14:paraId="3BE41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816" w:type="dxa"/>
            <w:tcBorders>
              <w:tl2br w:val="nil"/>
              <w:tr2bl w:val="nil"/>
            </w:tcBorders>
            <w:shd w:val="clear" w:color="auto" w:fill="auto"/>
            <w:vAlign w:val="center"/>
          </w:tcPr>
          <w:p w14:paraId="10C58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46" w:type="dxa"/>
            <w:tcBorders>
              <w:tl2br w:val="nil"/>
              <w:tr2bl w:val="nil"/>
            </w:tcBorders>
            <w:shd w:val="clear" w:color="auto" w:fill="auto"/>
            <w:vAlign w:val="center"/>
          </w:tcPr>
          <w:p w14:paraId="1F87EB5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66855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589A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975" w:hRule="atLeast"/>
          <w:jc w:val="center"/>
        </w:trPr>
        <w:tc>
          <w:tcPr>
            <w:tcW w:w="430" w:type="dxa"/>
            <w:tcBorders>
              <w:tl2br w:val="nil"/>
              <w:tr2bl w:val="nil"/>
            </w:tcBorders>
            <w:shd w:val="clear" w:color="auto" w:fill="auto"/>
            <w:vAlign w:val="center"/>
          </w:tcPr>
          <w:p w14:paraId="6FC19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50" w:type="dxa"/>
            <w:tcBorders>
              <w:tl2br w:val="nil"/>
              <w:tr2bl w:val="nil"/>
            </w:tcBorders>
            <w:shd w:val="clear" w:color="auto" w:fill="auto"/>
            <w:vAlign w:val="center"/>
          </w:tcPr>
          <w:p w14:paraId="30B70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诊察费</w:t>
            </w:r>
          </w:p>
        </w:tc>
        <w:tc>
          <w:tcPr>
            <w:tcW w:w="1928" w:type="dxa"/>
            <w:tcBorders>
              <w:tl2br w:val="nil"/>
              <w:tr2bl w:val="nil"/>
            </w:tcBorders>
            <w:shd w:val="clear" w:color="auto" w:fill="auto"/>
            <w:vAlign w:val="center"/>
          </w:tcPr>
          <w:p w14:paraId="714A1BE2">
            <w:pPr>
              <w:keepNext w:val="0"/>
              <w:keepLines w:val="0"/>
              <w:pageBreakBefore w:val="0"/>
              <w:widowControl/>
              <w:numPr>
                <w:ilvl w:val="0"/>
                <w:numId w:val="0"/>
              </w:numPr>
              <w:suppressLineNumbers w:val="0"/>
              <w:kinsoku/>
              <w:wordWrap/>
              <w:overflowPunct/>
              <w:topLinePunct w:val="0"/>
              <w:autoSpaceDE/>
              <w:autoSpaceDN/>
              <w:bidi w:val="0"/>
              <w:adjustRightInd/>
              <w:snapToGrid/>
              <w:ind w:left="-63" w:leftChars="-30" w:right="-63" w:rightChars="-30" w:firstLine="0" w:firstLineChars="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011102010020200</w:t>
            </w:r>
          </w:p>
        </w:tc>
        <w:tc>
          <w:tcPr>
            <w:tcW w:w="1273" w:type="dxa"/>
            <w:tcBorders>
              <w:tl2br w:val="nil"/>
              <w:tr2bl w:val="nil"/>
            </w:tcBorders>
            <w:shd w:val="clear" w:color="auto" w:fill="auto"/>
            <w:vAlign w:val="center"/>
          </w:tcPr>
          <w:p w14:paraId="5C1AB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临床量表评估(他评)-儿童评估(扩展)</w:t>
            </w:r>
          </w:p>
        </w:tc>
        <w:tc>
          <w:tcPr>
            <w:tcW w:w="2116" w:type="dxa"/>
            <w:tcBorders>
              <w:tl2br w:val="nil"/>
              <w:tr2bl w:val="nil"/>
            </w:tcBorders>
            <w:shd w:val="clear" w:color="auto" w:fill="auto"/>
            <w:vAlign w:val="center"/>
          </w:tcPr>
          <w:p w14:paraId="126DA3F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基于专业评估人员协助儿童患者完成的临床量表，对患者生理或心理的功能状态形成评估结论。</w:t>
            </w:r>
          </w:p>
        </w:tc>
        <w:tc>
          <w:tcPr>
            <w:tcW w:w="1856" w:type="dxa"/>
            <w:tcBorders>
              <w:tl2br w:val="nil"/>
              <w:tr2bl w:val="nil"/>
            </w:tcBorders>
            <w:shd w:val="clear" w:color="auto" w:fill="auto"/>
            <w:vAlign w:val="center"/>
          </w:tcPr>
          <w:p w14:paraId="6F294ED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所定价格涵盖完成自评所需的人力资源和基本物质资源消耗。</w:t>
            </w:r>
          </w:p>
        </w:tc>
        <w:tc>
          <w:tcPr>
            <w:tcW w:w="816" w:type="dxa"/>
            <w:tcBorders>
              <w:tl2br w:val="nil"/>
              <w:tr2bl w:val="nil"/>
            </w:tcBorders>
            <w:shd w:val="clear" w:color="auto" w:fill="auto"/>
            <w:vAlign w:val="center"/>
          </w:tcPr>
          <w:p w14:paraId="05A94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816" w:type="dxa"/>
            <w:tcBorders>
              <w:tl2br w:val="nil"/>
              <w:tr2bl w:val="nil"/>
            </w:tcBorders>
            <w:shd w:val="clear" w:color="auto" w:fill="auto"/>
            <w:vAlign w:val="center"/>
          </w:tcPr>
          <w:p w14:paraId="0E8D8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16" w:type="dxa"/>
            <w:tcBorders>
              <w:tl2br w:val="nil"/>
              <w:tr2bl w:val="nil"/>
            </w:tcBorders>
            <w:shd w:val="clear" w:color="auto" w:fill="auto"/>
            <w:vAlign w:val="center"/>
          </w:tcPr>
          <w:p w14:paraId="69481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816" w:type="dxa"/>
            <w:tcBorders>
              <w:tl2br w:val="nil"/>
              <w:tr2bl w:val="nil"/>
            </w:tcBorders>
            <w:shd w:val="clear" w:color="auto" w:fill="auto"/>
            <w:vAlign w:val="center"/>
          </w:tcPr>
          <w:p w14:paraId="15B7A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46" w:type="dxa"/>
            <w:tcBorders>
              <w:tl2br w:val="nil"/>
              <w:tr2bl w:val="nil"/>
            </w:tcBorders>
            <w:shd w:val="clear" w:color="auto" w:fill="auto"/>
            <w:vAlign w:val="center"/>
          </w:tcPr>
          <w:p w14:paraId="3205F41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不同学科且不重复的临床量表评估科分别计价。</w:t>
            </w:r>
          </w:p>
        </w:tc>
        <w:tc>
          <w:tcPr>
            <w:tcW w:w="668" w:type="dxa"/>
            <w:tcBorders>
              <w:tl2br w:val="nil"/>
              <w:tr2bl w:val="nil"/>
            </w:tcBorders>
            <w:shd w:val="clear" w:color="auto" w:fill="auto"/>
            <w:vAlign w:val="center"/>
          </w:tcPr>
          <w:p w14:paraId="71187F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bookmarkEnd w:id="0"/>
    </w:tbl>
    <w:p w14:paraId="2140ACF3">
      <w:pPr>
        <w:pStyle w:val="6"/>
        <w:spacing w:line="600" w:lineRule="exact"/>
        <w:jc w:val="left"/>
        <w:rPr>
          <w:rFonts w:hint="eastAsia" w:ascii="方正小标宋简体" w:hAnsi="方正小标宋简体" w:eastAsia="方正小标宋简体" w:cs="方正小标宋简体"/>
          <w:kern w:val="0"/>
          <w:sz w:val="44"/>
          <w:szCs w:val="44"/>
          <w:lang w:val="en-US" w:eastAsia="zh-CN"/>
        </w:rPr>
      </w:pPr>
    </w:p>
    <w:p w14:paraId="4BFD1D56">
      <w:pPr>
        <w:pStyle w:val="6"/>
        <w:spacing w:line="600" w:lineRule="exact"/>
        <w:jc w:val="left"/>
        <w:rPr>
          <w:rFonts w:hint="eastAsia" w:ascii="方正小标宋简体" w:hAnsi="方正小标宋简体" w:eastAsia="方正小标宋简体" w:cs="方正小标宋简体"/>
          <w:kern w:val="0"/>
          <w:sz w:val="44"/>
          <w:szCs w:val="44"/>
          <w:lang w:val="en-US" w:eastAsia="zh-CN"/>
        </w:rPr>
      </w:pPr>
    </w:p>
    <w:p w14:paraId="6BD906BF">
      <w:pP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br w:type="page"/>
      </w:r>
    </w:p>
    <w:p w14:paraId="1AAA8C31">
      <w:pPr>
        <w:widowControl/>
        <w:jc w:val="left"/>
        <w:rPr>
          <w:rFonts w:hint="default" w:ascii="黑体" w:hAnsi="黑体" w:eastAsia="黑体" w:cs="仿宋_GB2312"/>
          <w:color w:val="auto"/>
          <w:sz w:val="32"/>
          <w:szCs w:val="32"/>
          <w:lang w:val="en-US" w:eastAsia="zh-CN"/>
        </w:rPr>
      </w:pPr>
      <w:r>
        <w:rPr>
          <w:rFonts w:hint="eastAsia" w:ascii="黑体" w:hAnsi="黑体" w:eastAsia="黑体" w:cs="仿宋_GB2312"/>
          <w:color w:val="auto"/>
          <w:sz w:val="32"/>
          <w:szCs w:val="32"/>
          <w:lang w:eastAsia="zh-CN"/>
        </w:rPr>
        <w:t>附件</w:t>
      </w:r>
      <w:r>
        <w:rPr>
          <w:rFonts w:hint="default" w:ascii="黑体" w:hAnsi="黑体" w:eastAsia="黑体" w:cs="仿宋_GB2312"/>
          <w:color w:val="auto"/>
          <w:sz w:val="32"/>
          <w:szCs w:val="32"/>
          <w:lang w:val="en-US"/>
        </w:rPr>
        <w:t>2</w:t>
      </w:r>
    </w:p>
    <w:p w14:paraId="1F6047AF">
      <w:pPr>
        <w:keepNext w:val="0"/>
        <w:keepLines w:val="0"/>
        <w:pageBreakBefore w:val="0"/>
        <w:widowControl/>
        <w:kinsoku/>
        <w:wordWrap/>
        <w:overflowPunct/>
        <w:topLinePunct w:val="0"/>
        <w:autoSpaceDE/>
        <w:autoSpaceDN/>
        <w:bidi w:val="0"/>
        <w:adjustRightInd/>
        <w:snapToGrid/>
        <w:spacing w:before="156" w:beforeLines="50" w:after="158" w:afterLines="50"/>
        <w:jc w:val="center"/>
        <w:textAlignment w:val="auto"/>
        <w:rPr>
          <w:rFonts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废止现行2</w:t>
      </w:r>
      <w:r>
        <w:rPr>
          <w:rFonts w:hint="eastAsia" w:ascii="方正小标宋简体" w:hAnsi="黑体" w:eastAsia="方正小标宋简体" w:cs="仿宋_GB2312"/>
          <w:color w:val="auto"/>
          <w:sz w:val="44"/>
          <w:szCs w:val="44"/>
          <w:lang w:val="en-US" w:eastAsia="zh-CN"/>
        </w:rPr>
        <w:t>2</w:t>
      </w:r>
      <w:r>
        <w:rPr>
          <w:rFonts w:hint="eastAsia" w:ascii="方正小标宋简体" w:hAnsi="黑体" w:eastAsia="方正小标宋简体" w:cs="仿宋_GB2312"/>
          <w:color w:val="auto"/>
          <w:sz w:val="44"/>
          <w:szCs w:val="44"/>
        </w:rPr>
        <w:t>个</w:t>
      </w:r>
      <w:r>
        <w:rPr>
          <w:rFonts w:hint="eastAsia" w:ascii="方正小标宋简体" w:hAnsi="黑体" w:eastAsia="方正小标宋简体" w:cs="仿宋_GB2312"/>
          <w:color w:val="auto"/>
          <w:sz w:val="44"/>
          <w:szCs w:val="44"/>
          <w:lang w:eastAsia="zh-CN"/>
        </w:rPr>
        <w:t>临床量表评估</w:t>
      </w:r>
      <w:r>
        <w:rPr>
          <w:rFonts w:hint="eastAsia" w:ascii="方正小标宋简体" w:hAnsi="黑体" w:eastAsia="方正小标宋简体" w:cs="仿宋_GB2312"/>
          <w:color w:val="auto"/>
          <w:sz w:val="44"/>
          <w:szCs w:val="44"/>
        </w:rPr>
        <w:t>类医疗服务价格项目表</w:t>
      </w:r>
    </w:p>
    <w:tbl>
      <w:tblPr>
        <w:tblStyle w:val="10"/>
        <w:tblW w:w="49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1538"/>
        <w:gridCol w:w="2366"/>
        <w:gridCol w:w="4140"/>
        <w:gridCol w:w="1125"/>
        <w:gridCol w:w="1079"/>
        <w:gridCol w:w="3720"/>
      </w:tblGrid>
      <w:tr w14:paraId="62ED4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160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序号</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E09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江西省医疗服务项目编码</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82DAC">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黑体" w:hAnsi="黑体" w:eastAsia="黑体" w:cs="黑体"/>
                <w:b w:val="0"/>
                <w:bCs w:val="0"/>
                <w:i w:val="0"/>
                <w:iCs w:val="0"/>
                <w:color w:val="auto"/>
                <w:spacing w:val="-6"/>
                <w:sz w:val="20"/>
                <w:szCs w:val="20"/>
                <w:u w:val="none"/>
              </w:rPr>
            </w:pPr>
            <w:r>
              <w:rPr>
                <w:rFonts w:hint="eastAsia" w:ascii="黑体" w:hAnsi="黑体" w:eastAsia="黑体" w:cs="黑体"/>
                <w:b w:val="0"/>
                <w:bCs w:val="0"/>
                <w:i w:val="0"/>
                <w:iCs w:val="0"/>
                <w:color w:val="auto"/>
                <w:spacing w:val="-6"/>
                <w:kern w:val="0"/>
                <w:sz w:val="20"/>
                <w:szCs w:val="20"/>
                <w:u w:val="none"/>
                <w:lang w:val="en-US" w:eastAsia="zh-CN" w:bidi="ar"/>
              </w:rPr>
              <w:t>江西省医疗服务项目名称</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4E1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项目内涵</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32F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除外内容</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A4F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计价单位</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24C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计价说明</w:t>
            </w:r>
          </w:p>
        </w:tc>
      </w:tr>
      <w:tr w14:paraId="76CC0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349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BA3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310300006</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98763">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Theme="minorEastAsia" w:hAnsiTheme="minorEastAsia" w:eastAsiaTheme="minorEastAsia" w:cstheme="minorEastAsia"/>
                <w:i w:val="0"/>
                <w:iCs w:val="0"/>
                <w:color w:val="auto"/>
                <w:spacing w:val="-6"/>
                <w:sz w:val="20"/>
                <w:szCs w:val="20"/>
                <w:u w:val="none"/>
              </w:rPr>
            </w:pPr>
            <w:r>
              <w:rPr>
                <w:rFonts w:hint="eastAsia" w:asciiTheme="minorEastAsia" w:hAnsiTheme="minorEastAsia" w:eastAsiaTheme="minorEastAsia" w:cstheme="minorEastAsia"/>
                <w:i w:val="0"/>
                <w:iCs w:val="0"/>
                <w:color w:val="auto"/>
                <w:spacing w:val="-6"/>
                <w:kern w:val="0"/>
                <w:sz w:val="20"/>
                <w:szCs w:val="20"/>
                <w:u w:val="none"/>
                <w:lang w:val="en-US" w:eastAsia="zh-CN" w:bidi="ar"/>
              </w:rPr>
              <w:t>阿姆斯勒（Amsler）表检查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55651">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3750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001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A9715">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0E37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FFE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789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311202014</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D94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新生儿量表检查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8AABB">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93E6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2886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A954B">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AC08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76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798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311202015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F6C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新生儿行为测定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6BC0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包括神经反映测评</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70A3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294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3426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E246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2530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4</w:t>
            </w:r>
          </w:p>
        </w:tc>
        <w:tc>
          <w:tcPr>
            <w:tcW w:w="5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873C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311501001</w:t>
            </w:r>
          </w:p>
        </w:tc>
        <w:tc>
          <w:tcPr>
            <w:tcW w:w="8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6F9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精神科A类量表测查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3673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包括</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21EC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7D6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0FB1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测查时间30分钟以内，使用电脑自测的量表加收10%。</w:t>
            </w:r>
          </w:p>
        </w:tc>
      </w:tr>
      <w:tr w14:paraId="25B1E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0B18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3041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053B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2407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宗（Zung）氏焦虑自评量表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67DD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84A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D11A3">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D43A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B012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EF019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8D452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80DC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宗（Zung）氏抑郁自评量表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1890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500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34F57">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7F13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47DF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91C4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12B9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BA8B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汉密尔顿焦虑量表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BE86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E37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9829D">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CF8D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84E7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AA5B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E4E01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5F60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汉密尔顿抑郁量表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31F2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9CD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CF115">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568B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F8A0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E78D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AA56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3F20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艾森贝格（Asberg）抗抑郁剂副反应量表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AEB2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37D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56F85">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CE68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DCED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0F16D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5C2AC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2BC9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躁狂状态评定量表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33A5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3CE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9C17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852A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CF99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1810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6809B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E557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简明精神病评定量表（BPRS）</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0F81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343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C2C00">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0114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575F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6FE3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73583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2BD2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五分量表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4815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0FF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48B3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8E4B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B118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24A41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B928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BA7B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临床总体印象量表（CGI）</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5A3F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419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D5089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8C44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1CFD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BBFC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D72CD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25D6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药物副作用量表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68A3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115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4F3CE">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1CB4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A07AC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5023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F81D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C426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不自主运动评定量表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631F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5AA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E5ED7">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A5F9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790E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A06B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597A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F04A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迟发运动障碍评定量表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8385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B13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EFA43">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DCF9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E4EF6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51C56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9072A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0C89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锥体外系副作用量表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D89D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5DB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00A37">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BF33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9AFB6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1FC56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A00CA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466D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气质量表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B78A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914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91831">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11CB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jc w:val="center"/>
        </w:trPr>
        <w:tc>
          <w:tcPr>
            <w:tcW w:w="215" w:type="pct"/>
            <w:vMerge w:val="restart"/>
            <w:tcBorders>
              <w:top w:val="single" w:color="000000" w:sz="4" w:space="0"/>
              <w:left w:val="single" w:color="000000" w:sz="4" w:space="0"/>
              <w:right w:val="single" w:color="000000" w:sz="4" w:space="0"/>
            </w:tcBorders>
            <w:shd w:val="clear" w:color="auto" w:fill="auto"/>
            <w:vAlign w:val="center"/>
          </w:tcPr>
          <w:p w14:paraId="3608BF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4</w:t>
            </w:r>
          </w:p>
        </w:tc>
        <w:tc>
          <w:tcPr>
            <w:tcW w:w="526" w:type="pct"/>
            <w:vMerge w:val="restart"/>
            <w:tcBorders>
              <w:top w:val="single" w:color="000000" w:sz="4" w:space="0"/>
              <w:left w:val="single" w:color="000000" w:sz="4" w:space="0"/>
              <w:right w:val="single" w:color="000000" w:sz="4" w:space="0"/>
            </w:tcBorders>
            <w:shd w:val="clear" w:color="auto" w:fill="auto"/>
            <w:vAlign w:val="center"/>
          </w:tcPr>
          <w:p w14:paraId="296E5B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311501001</w:t>
            </w:r>
          </w:p>
        </w:tc>
        <w:tc>
          <w:tcPr>
            <w:tcW w:w="810" w:type="pct"/>
            <w:vMerge w:val="restart"/>
            <w:tcBorders>
              <w:top w:val="single" w:color="000000" w:sz="4" w:space="0"/>
              <w:left w:val="single" w:color="000000" w:sz="4" w:space="0"/>
              <w:right w:val="single" w:color="000000" w:sz="4" w:space="0"/>
            </w:tcBorders>
            <w:shd w:val="clear" w:color="auto" w:fill="auto"/>
            <w:vAlign w:val="center"/>
          </w:tcPr>
          <w:p w14:paraId="323EB4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精神科A类量表测查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528D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艾森贝格行为量表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35CC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AA2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0B387">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3B5F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7359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ED1B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93E0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E636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常识注意测验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3386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502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BD6AF">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C98D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2289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54EE6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9BBE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805F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简明心理状况测验（MMSE）</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890F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933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ACB3F">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7123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BF1C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BCEA2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08E25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AE0F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瞬时记忆测验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42CB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253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5BED5">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472D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CD0FF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314E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CF45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E0BA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长谷川痴呆测验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0D29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B7C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B58FD">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C1CD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C9B5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29ED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78AD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4555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认知方式测定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E796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95D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7441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4DEB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70AF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0428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6CDA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B1AF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小学生推理能力测定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1843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11A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13D9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01F2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0BF9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1EF5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CCF7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89EF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儿童内外控量表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4F17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F17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53A4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ACC6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39A86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90A8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2AF7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3CE3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儿童孤独行为检查量表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F1F8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45D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D2D95">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卡氏量表同此项计价；克氏量表减半计价。</w:t>
            </w:r>
          </w:p>
        </w:tc>
      </w:tr>
      <w:tr w14:paraId="49A57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5C6E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4BB1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BFB5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A7BE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康奈氏（Conners）儿童行为量表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736A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536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1DB93">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10BA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7BD5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A05E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3871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CD73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阿成贝切（Achenbach）儿童行为量表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9D26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8DD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6F560">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74AA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E264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F28B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EFBA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83A1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注意广度测定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5CDD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439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F21A9">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0ECB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6345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594B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137D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5416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注意分配测定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A0A5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808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87DB9">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DA0C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926EA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45FA1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5FD02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9C7B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短时记忆广度测定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E784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9B3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58FF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E003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6E1A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4A213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3547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D5E2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瞬时记忆广度测定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CA89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361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394FB">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32F48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06C9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CFBB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D284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1E7F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检查空间位置记忆广度测定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67B4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A2D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663F4">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DE72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B9672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B6B7C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8FD9C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45C2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再认能力测定感统量表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B0BA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B1B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BEBC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感统发展能力评定量表同此项计价。</w:t>
            </w:r>
          </w:p>
        </w:tc>
      </w:tr>
      <w:tr w14:paraId="4491D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E613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EBB7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8484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5D26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日常生活能力评定量表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A86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757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23DB7">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7EFD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9AFD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A1FA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5186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DF21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智力成就责任问卷</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C99F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A10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BE59C">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9BFE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5FF6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20BA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A142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37CF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丹佛小儿智能发育筛查表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A4F1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DFC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90B7D">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5349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7419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34A7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8A3F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D3C7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比奈智力测定（10岁以下）</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CCBD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7C0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8996F">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536E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0E74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3CB63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F773E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3AB9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绘人智力测定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D5B7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6CD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2E5F4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D127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27FF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BEA4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3A64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F1A1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思维型、艺术型测定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5B00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8DB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7D83E">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DC2A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3F14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36F38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26A1F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F6D5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催眠感受性测定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57DF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0D1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154D0">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E674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1DC9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5</w:t>
            </w:r>
          </w:p>
        </w:tc>
        <w:tc>
          <w:tcPr>
            <w:tcW w:w="5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1AF8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311501002</w:t>
            </w:r>
          </w:p>
        </w:tc>
        <w:tc>
          <w:tcPr>
            <w:tcW w:w="8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7ADB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精神科B类量表测查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FA69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包括</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A2BF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510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CA36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测查时间30—60分钟，使用电脑自测的量表加收10%。</w:t>
            </w:r>
          </w:p>
        </w:tc>
      </w:tr>
      <w:tr w14:paraId="25240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6D4F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3A5D0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9A6D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ED2D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阳性和阴性精神症状评定（PANSS）量表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8363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1DC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AB62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A935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ECDBF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AB8B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BB8F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CC9D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慢性精神病标准化评定量表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84B1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278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31FE8">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AEA6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3024B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AF76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91A2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1B90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紧张性生活事件评定量表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E26D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CC1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DAE95">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A6FE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D741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15325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2F227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DE00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老年认知功能量表（SECC）</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FC1F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99C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84FF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7D59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EF14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E6C4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1E9A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BC0F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强迫症状问卷</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B287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258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EC9C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DD0E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4E7B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983A2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E80A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98C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精神护理观察量表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B89D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A6C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C7681">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4905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69FF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1EFD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FE50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4D5A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社会功能缺陷筛选量表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3C62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FF6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41401">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0239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E30BF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40B8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19EF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3BE0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标准化现状检查</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53F3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43F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1D12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32EB4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D5C2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0D36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E4A0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6602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布雷德（Bleied）痴呆评定量表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9251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ED2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2C403">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D600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548A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C7EB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FD1F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5029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艾森克人格测定（少年版）</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A72E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30C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97A41">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38B17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DC4F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0BB2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1105F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2909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简明智能测查（SM能力测查）</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39ED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C89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C5A31">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BF49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79CB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9B1D5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DB09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233E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图片词汇测验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02E4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BC0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46F8B">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8C4F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7F7D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80D0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7B74B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D02D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瑞文智力测定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9C80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F16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37AA1">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6E8D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85C85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C1C6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C1C6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379F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格式塔测验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BDA9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240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CCA47">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367D2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7BD6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064D4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DA1AF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879F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本顿视觉保持测定</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4A36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ACD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60255">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1E0C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E0BC4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C332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59BE1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5446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各种个别能力测验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61E3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98D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A3758">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1868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EF50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6</w:t>
            </w:r>
          </w:p>
        </w:tc>
        <w:tc>
          <w:tcPr>
            <w:tcW w:w="5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338F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311501003</w:t>
            </w:r>
          </w:p>
        </w:tc>
        <w:tc>
          <w:tcPr>
            <w:tcW w:w="8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751D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精神科C类量表测查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2019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包括</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6BC4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4E6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24C0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测查时间60分钟以上，使用电脑自测的量表加10%收。</w:t>
            </w:r>
          </w:p>
        </w:tc>
      </w:tr>
      <w:tr w14:paraId="51447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9C9D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96D2D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A378E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C441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阳性症状评定量表（SAPS）</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2E5F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931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17B2B">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FA0D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D389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75AF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A253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3F5E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阴性症状评定量表（SANS）</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8507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29F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7987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7B7C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55F1C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89E8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CC0F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FBAA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复合性国际诊断问卷（CIDI）</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B0AF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E95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8D39B">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242B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FA731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615B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C45A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869F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现状精神病症状检查（PSE）</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773B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E3D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2CEF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8901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9C49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EE99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36E85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86D2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症状自评量表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84F5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2C0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2676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78F9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restart"/>
            <w:tcBorders>
              <w:top w:val="single" w:color="000000" w:sz="4" w:space="0"/>
              <w:left w:val="single" w:color="000000" w:sz="4" w:space="0"/>
              <w:right w:val="single" w:color="000000" w:sz="4" w:space="0"/>
            </w:tcBorders>
            <w:shd w:val="clear" w:color="auto" w:fill="auto"/>
            <w:vAlign w:val="center"/>
          </w:tcPr>
          <w:p w14:paraId="52F455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6</w:t>
            </w:r>
          </w:p>
        </w:tc>
        <w:tc>
          <w:tcPr>
            <w:tcW w:w="526" w:type="pct"/>
            <w:vMerge w:val="restart"/>
            <w:tcBorders>
              <w:top w:val="single" w:color="000000" w:sz="4" w:space="0"/>
              <w:left w:val="single" w:color="000000" w:sz="4" w:space="0"/>
              <w:right w:val="single" w:color="000000" w:sz="4" w:space="0"/>
            </w:tcBorders>
            <w:shd w:val="clear" w:color="auto" w:fill="auto"/>
            <w:vAlign w:val="center"/>
          </w:tcPr>
          <w:p w14:paraId="689CD2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311501003</w:t>
            </w:r>
          </w:p>
        </w:tc>
        <w:tc>
          <w:tcPr>
            <w:tcW w:w="810" w:type="pct"/>
            <w:vMerge w:val="restart"/>
            <w:tcBorders>
              <w:top w:val="single" w:color="000000" w:sz="4" w:space="0"/>
              <w:left w:val="single" w:color="000000" w:sz="4" w:space="0"/>
              <w:right w:val="single" w:color="000000" w:sz="4" w:space="0"/>
            </w:tcBorders>
            <w:shd w:val="clear" w:color="auto" w:fill="auto"/>
            <w:vAlign w:val="center"/>
          </w:tcPr>
          <w:p w14:paraId="55EA11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精神科C类量表测查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2413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成人孤独症诊断量表（ADI）</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27AD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F70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F722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测查时间60分钟以上,使用电脑自测的量表酌情加收30元，6岁以下儿童孤独症加收不超过30%。</w:t>
            </w:r>
          </w:p>
        </w:tc>
      </w:tr>
      <w:tr w14:paraId="0A89A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29F5E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6920A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7E405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E91C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成人韦氏记忆测验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126B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B10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4E5BC">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A37E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57FE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64CBF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38E39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CB10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临床记忆测验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67CF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F46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03EC9">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7E7E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A39A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E15A6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AECD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0AC1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韦氏智力测验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7268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430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6356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D2CA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02B6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5E82D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3B009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8D22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神经心理测验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0FBD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276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2A5E4">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6B0E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C6B9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06AF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B84B0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4396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科赫（Kohs）立方体组合测验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C84D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51A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ADFFF">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EFD7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1FAB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EE3A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405C5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297A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明尼苏达多相个性测验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D4B1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E89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11725">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B1FE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E90B0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B2111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1ECF7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8057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艾森克个性测验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98C1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7F6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41FB5">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1D7A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0654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B8074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3C8D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8D44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卡特尔16项人格测验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4805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672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BEFBD">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4A5D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56C7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6219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0E0BC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6A13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十六种人格问卷</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075E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15C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8D47B">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76B2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59A53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6597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BD28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3A83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专家系统行为观察诊断量表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61B3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F4E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54F9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7FDD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FA457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AE94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D7FF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0961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808神经类型测验</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D14B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307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9F6D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8F47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F752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0781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957F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0652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比奈智力测定（10岁以上）</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94D0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BE7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238F8">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0F8D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F1444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3A6BE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DFD26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153D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韦氏智力测定（学前、学龄）</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F1B8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BA0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7FDC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麦卡锡智力测定40元。</w:t>
            </w:r>
          </w:p>
        </w:tc>
      </w:tr>
      <w:tr w14:paraId="413FD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3FA5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BCB4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59AD5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87C7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儿童发育量表（PEP）</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A3F1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88A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2532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11BA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6D3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7</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DF5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311502001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7E4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套瓦（TOVA）注意力竞量测试</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312E1">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EA6E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022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2EE8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17C8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71D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8</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036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340200001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864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徒手平衡功能检查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BF4B1">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BE15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FBF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C701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37C9A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80F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9</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ECD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340200003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8FC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日常生活能力评定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E8611">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2680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5D0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F7311">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B221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90E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10</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353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340200005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10C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手功能评定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4518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包括徒手和仪器</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4A45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B2D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6A88F">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25972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A9D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11</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121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340200006</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C0B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疲劳度测定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9AD5F">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827D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1C9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86BBE">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6F8E1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073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12</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AA0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340200008</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3FD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言语能力评定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3C51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包括一般失语症检查、构音障碍检查、言语失用检查</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E687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822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1B7F1">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r>
      <w:tr w14:paraId="3FBF0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8C9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13</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22D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340200009</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338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失语症检查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789EA">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C4E1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1DD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F9CD7">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r>
      <w:tr w14:paraId="247A2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177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14</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7C4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340200010</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99F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口吃检查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97DD7">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4C86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9F1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9C2AB">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r>
      <w:tr w14:paraId="3C712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F72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15</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19E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340200011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860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吞咽功能障碍评定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6F7FE">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46D0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4F9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FCEBC">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r>
      <w:tr w14:paraId="1B528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176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16</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782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340200012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8BA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认知知觉功能检查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7877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包括计算定向思维推理检查</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D420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F272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2CCCE">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55E72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FC3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17</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18A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340200013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A17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记忆力评定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E0CA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包括成人记忆成套测试</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FCD7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426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7D8E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7CFF2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626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18</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D8D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340200014</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6B2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失认失用评定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DE902">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ADD0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62A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8A446">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0CBD1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8AC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19</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6E1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340200015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8A6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职业能力评定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557E7">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BA64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374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C024B">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1DD8F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6F7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20</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2C9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340200016</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6BC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记忆广度检查</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FF270">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369E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A53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2A8C8">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45FBD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379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21</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8A2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340200018</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519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肺功能康复评定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F5061">
            <w:pPr>
              <w:keepNext w:val="0"/>
              <w:keepLines w:val="0"/>
              <w:pageBreakBefore w:val="0"/>
              <w:kinsoku/>
              <w:wordWrap/>
              <w:overflowPunct/>
              <w:topLinePunct w:val="0"/>
              <w:autoSpaceDE/>
              <w:autoSpaceDN/>
              <w:bidi w:val="0"/>
              <w:adjustRightInd/>
              <w:snapToGrid/>
              <w:spacing w:line="280" w:lineRule="exact"/>
              <w:jc w:val="both"/>
              <w:rPr>
                <w:rFonts w:hint="eastAsia" w:asciiTheme="minorEastAsia" w:hAnsiTheme="minorEastAsia" w:eastAsiaTheme="minorEastAsia" w:cstheme="minorEastAsia"/>
                <w:i w:val="0"/>
                <w:iCs w:val="0"/>
                <w:color w:val="auto"/>
                <w:sz w:val="20"/>
                <w:szCs w:val="20"/>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7A46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9B5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B5CD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iCs w:val="0"/>
                <w:color w:val="auto"/>
                <w:sz w:val="20"/>
                <w:szCs w:val="20"/>
                <w:u w:val="none"/>
              </w:rPr>
            </w:pPr>
          </w:p>
        </w:tc>
      </w:tr>
      <w:tr w14:paraId="3EDE4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CD3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22</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6C3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340200043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3AD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疼痛综合评定</w:t>
            </w:r>
          </w:p>
        </w:tc>
        <w:tc>
          <w:tcPr>
            <w:tcW w:w="1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56D7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进行麦吉尔疼痛问卷评定，视觉模拟评分法评定，慢性疼痛状况分级等，对患者疼痛的部位、程度、性质、频率和对日常生活的影响等方面进行综合评定。人工报告</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C866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iCs w:val="0"/>
                <w:color w:val="auto"/>
                <w:sz w:val="20"/>
                <w:szCs w:val="20"/>
                <w:u w:val="none"/>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9D6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次</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7290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评分在3分以上患者每天收费不超过2次。</w:t>
            </w:r>
          </w:p>
        </w:tc>
      </w:tr>
    </w:tbl>
    <w:p w14:paraId="673B4BFA">
      <w:pPr>
        <w:tabs>
          <w:tab w:val="left" w:pos="727"/>
        </w:tabs>
        <w:bidi w:val="0"/>
        <w:jc w:val="left"/>
        <w:rPr>
          <w:rFonts w:hint="default"/>
          <w:lang w:val="en-US" w:eastAsia="zh-CN"/>
        </w:rPr>
      </w:pPr>
    </w:p>
    <w:p w14:paraId="1B29F984">
      <w:pPr>
        <w:rPr>
          <w:rFonts w:hint="default"/>
          <w:lang w:val="en-US" w:eastAsia="zh-CN"/>
        </w:rPr>
      </w:pPr>
      <w:r>
        <w:rPr>
          <w:rFonts w:hint="default"/>
          <w:lang w:val="en-US" w:eastAsia="zh-CN"/>
        </w:rPr>
        <w:br w:type="page"/>
      </w:r>
    </w:p>
    <w:p w14:paraId="2A2DFA00">
      <w:pPr>
        <w:pStyle w:val="4"/>
        <w:tabs>
          <w:tab w:val="left" w:pos="3800"/>
        </w:tabs>
        <w:ind w:left="0" w:leftChars="0" w:firstLine="0" w:firstLineChars="0"/>
        <w:rPr>
          <w:rFonts w:hint="eastAsia"/>
          <w:color w:val="auto"/>
          <w:lang w:val="en-US" w:eastAsia="zh-CN"/>
        </w:rPr>
      </w:pPr>
      <w:r>
        <w:rPr>
          <w:rFonts w:hint="eastAsia" w:ascii="黑体" w:hAnsi="黑体" w:eastAsia="黑体" w:cs="黑体"/>
          <w:color w:val="auto"/>
          <w:sz w:val="32"/>
          <w:szCs w:val="32"/>
          <w:lang w:val="en-US" w:eastAsia="zh-CN"/>
        </w:rPr>
        <w:t>附件3</w:t>
      </w:r>
      <w:r>
        <w:rPr>
          <w:rFonts w:hint="eastAsia"/>
          <w:color w:val="auto"/>
          <w:lang w:val="en-US" w:eastAsia="zh-CN"/>
        </w:rPr>
        <w:tab/>
      </w:r>
    </w:p>
    <w:p w14:paraId="6F25996C">
      <w:pPr>
        <w:keepNext w:val="0"/>
        <w:keepLines w:val="0"/>
        <w:pageBreakBefore w:val="0"/>
        <w:widowControl/>
        <w:suppressLineNumbers w:val="0"/>
        <w:kinsoku/>
        <w:wordWrap/>
        <w:overflowPunct/>
        <w:topLinePunct w:val="0"/>
        <w:autoSpaceDE/>
        <w:autoSpaceDN/>
        <w:bidi w:val="0"/>
        <w:adjustRightInd/>
        <w:snapToGrid/>
        <w:spacing w:after="96" w:afterLines="30" w:line="480" w:lineRule="exact"/>
        <w:jc w:val="center"/>
        <w:textAlignment w:val="center"/>
        <w:rPr>
          <w:rFonts w:hint="eastAsia" w:ascii="方正小标宋简体" w:hAnsi="方正小标宋简体" w:eastAsia="方正小标宋简体" w:cs="方正小标宋简体"/>
          <w:i w:val="0"/>
          <w:color w:val="auto"/>
          <w:kern w:val="0"/>
          <w:sz w:val="44"/>
          <w:szCs w:val="44"/>
          <w:u w:val="none"/>
          <w:lang w:val="en-US" w:eastAsia="zh-CN" w:bidi="ar"/>
        </w:rPr>
      </w:pPr>
      <w:r>
        <w:rPr>
          <w:rFonts w:hint="eastAsia" w:ascii="方正小标宋简体" w:hAnsi="方正小标宋简体" w:eastAsia="方正小标宋简体" w:cs="方正小标宋简体"/>
          <w:i w:val="0"/>
          <w:color w:val="auto"/>
          <w:kern w:val="0"/>
          <w:sz w:val="44"/>
          <w:szCs w:val="44"/>
          <w:u w:val="none"/>
          <w:lang w:val="en-US" w:eastAsia="zh-CN" w:bidi="ar"/>
        </w:rPr>
        <w:t>规范整合后的中医针法类医疗服务项目价格表</w:t>
      </w:r>
    </w:p>
    <w:tbl>
      <w:tblPr>
        <w:tblStyle w:val="10"/>
        <w:tblW w:w="147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746"/>
      </w:tblGrid>
      <w:tr w14:paraId="434F4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14746" w:type="dxa"/>
            <w:tcBorders>
              <w:top w:val="single" w:color="000000" w:sz="4" w:space="0"/>
              <w:left w:val="single" w:color="000000" w:sz="4" w:space="0"/>
              <w:bottom w:val="single" w:color="000000" w:sz="4" w:space="0"/>
              <w:right w:val="single" w:color="000000" w:sz="4" w:space="0"/>
            </w:tcBorders>
            <w:noWrap/>
            <w:vAlign w:val="center"/>
          </w:tcPr>
          <w:p w14:paraId="3D5763CD">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使用说明：</w:t>
            </w:r>
          </w:p>
          <w:p w14:paraId="4B37A946">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1.按照《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中医针法在操作层面存在差异，但在价格项目和定价水平层面具备合并同类项的条件，立项指南对目前常用的临床针法进行了合并。地方医保部门制定“中医针法”医疗服务项目价格时，要充分体现技术劳务价值，使收费水平覆盖绝大部分中医针法操作，使整合前后的中医针法治疗收费水平大体相当，具备条件的地方可以适当上调；立项指南所定价格属于政府指导价为最高限价，下浮不限；同时，医疗机构、医务人员实施中医针法治疗过程中有关创新改良，采取“现有项目兼容”的方式简化处理，无需申报新增医疗服务价格项目，直接按照对应的整合项目执行即可。</w:t>
            </w:r>
          </w:p>
          <w:p w14:paraId="435C4132">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2.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中医针法的“价格构成”涵盖了中医针法开穴、取穴、选针、进针、留针、行针、出针等整个操作过程，原按操作步骤单独设立的价格项目如“子午流注开穴法、灵龟八法开穴法、飞腾八法开穴法”等，以价格构成的形式计入中医针法价格项目，不再拆分立项。</w:t>
            </w:r>
          </w:p>
          <w:p w14:paraId="61133D27">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3.本指南所称的“加收项”，指同一项目以不同方式提供或在不同场景应用时，确有必要制定差异化价格标准而细分的一类子项，包括在原项目价格基础上增加收费的情况，具体的加收标准（加收率或加收金额）由各地依权限制定；实际应用中，同时涉及多个加收项的，以主项目单价为基础计算各项的加收水平后，求和得出加收金额。同一序列的加收项，例如“11主任医师加收”和“12副主任医师加收”不重复收费；不同序列的加收项，例如“11主任医师加收”和“01儿童加收”可以同时收取，加收项两位编码第1位相同的，视为同一序列。</w:t>
            </w:r>
          </w:p>
          <w:p w14:paraId="7701FBB8">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4.本指南所称的“扩展项”，指同一项目下以不同方式提供或在不同场景应用时，只扩展价格项目适用范围、不额外加价的一类子项，子项的价格按主项目执行。</w:t>
            </w:r>
          </w:p>
          <w:p w14:paraId="2288770F">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5.本指南所称的“基本物耗”，指原则上限于不应或不必要与医疗服务项目分割的易耗品，属于医疗服务价格项目应当使用的，包括但不限于针具、耳豆（含磁珠）、埋线（针）用品、治疗用蜂等生物活体以及各类消杀用品、储存用品、清洁用品、个人防护用品、垃圾处理用品、敷料、棉球、棉签、治疗（单）、治疗护理盘（包）、注射器、压舌板、防渗漏垫、尿垫、中单、标签、操作器具、备皮工具、包裹单（袋）等。基本物耗成本计入项目价格，不另行收费。除基本物耗以外的其他耗材，按照实际采购价格零差率收费销售。</w:t>
            </w:r>
          </w:p>
          <w:p w14:paraId="50C0D1E5">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6.</w:t>
            </w:r>
            <w:r>
              <w:rPr>
                <w:rFonts w:hint="eastAsia" w:ascii="仿宋_GB2312" w:hAnsi="仿宋_GB2312" w:eastAsia="仿宋_GB2312" w:cs="仿宋_GB2312"/>
                <w:b w:val="0"/>
                <w:bCs w:val="0"/>
                <w:color w:val="auto"/>
                <w:spacing w:val="-6"/>
                <w:sz w:val="18"/>
                <w:szCs w:val="18"/>
              </w:rPr>
              <w:t>本指南所称的“选针”，指针刺前准备，选择类别、材质、型号规格适宜的针具，根据患者的体质、体形、年龄、病情和腧穴部位等，选用适合针具施治，不再对材质、类别等进行区别计费。</w:t>
            </w:r>
          </w:p>
          <w:p w14:paraId="7E1DB4C2">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7.本指南所称的“进针”，指将针具刺入体内的方法，在操作上一般通过循按经脉，揣按穴位等预备方法，然后将针由浅入深地刺入预定的深度，不再区分针具刺入的深浅度分别立项或分别制定收费标准；本指南所称的“行针”，指将针刺刺入腧穴后，为了使之得气、调节针感以及进行补泻等而实施的各种手法，如提插捻转、循法、弹法、刮法、摇法、飞法、震颤法等；本指南所称的“留针”，指将针具刺入腧穴并施行手法后，将针留置于腧穴内一定时间的方法；本指南所称的“出针”，指行针完毕后，将针拔出的操作方法。</w:t>
            </w:r>
          </w:p>
          <w:p w14:paraId="16216995">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8.本指南所称的“特殊针具”，指国家卫生健康委制定发布技术规范收录的，长度、直径、形制、用法显著区别于毫针的其他针具，如芒针等。本指南所称的“特殊手法”，指国家卫生健康委制定发布技术规范单列的特色针刺手法，以及其他传承有序、列入地市级及以上非物质文化遗产的针法技术。医疗机构应用其他新手法或新针具开展中医针法治疗，尚未列入国家卫生健康委制定发布技术规范、不符合前述要求的，采取现有项目兼容的方式，按照常规针法的价格政策执行。</w:t>
            </w:r>
          </w:p>
          <w:p w14:paraId="1B864673">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9.本指南所称的“特殊穴位”，指具有一定危险性穴位，包括睛明、承泣、球后、风府、风池、哑门、人迎、天突、冲门、长强、会阴、八髎、金津、玉液及位于胸胁、颈项、背部的腧穴。本指南所称的“特殊部位”，指未列入传统中医腧穴范畴，中医针法治疗有效，具有一定危险性的特殊部位，例如国家卫生健康委制定发布技术规范中所列的眼窝内施针、翼腭窝深部的蝶腭神经节施针等情形。常规针法治疗或特殊针法治疗中涉及特殊穴位的，可在收取“常规针法”或“特殊针法”费用的基础上，同时收取“特殊穴位针法”的费用。</w:t>
            </w:r>
          </w:p>
          <w:p w14:paraId="3D4E2ECF">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10.本指南所称的“特殊开穴手法”，指国家卫生健康委制定发布技术规范中单列的特色开穴手法，如“子午流注开穴法”、“灵龟八法开穴法”、“飞腾八法开穴法”等，开穴（取穴）作为针法操作价格的一部分，在整合项目时，原来单独立项的，应合并到本指南“特殊针法”项目价格构成中。</w:t>
            </w:r>
          </w:p>
          <w:p w14:paraId="478EE604">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11.本指南所称的“仪器针法”，指应用仪器产生的电、热、冷、磁、振动、光等各类效应替代针具完成针法操作的针刺治疗，例如国家卫生健康委制定发布技术规范中所列的激光针治疗等。本指南所称的“仪器辅助操作”，指医师实施常规针法、特殊针具针法、特殊手法针法时，利用仪器使针具产生振动、电流、温度变化等，辅助完成针刺操作或者强化针刺效果。</w:t>
            </w:r>
          </w:p>
          <w:p w14:paraId="3CF761FE">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12.医疗服务价格项目立项指南中涉及“包括……”“……等”的，属于开放型表述，所指对象不仅局限于表述中列明的事项，也包括未列明的同类事项。</w:t>
            </w:r>
          </w:p>
          <w:p w14:paraId="331FA712">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13.本指南所称的“中医自血疗法”，指医务人员根据病情选穴，取患者自体血液，并通过穴位或肌肉组织注回患者自身体内，含取血、注射等操作。</w:t>
            </w:r>
          </w:p>
          <w:p w14:paraId="5FFB03C3">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14.本指南计价单位中的“次•日”，指完成一次完整的针刺过程，不以进针数量计费，每日收费一次。</w:t>
            </w:r>
          </w:p>
          <w:p w14:paraId="21CF73C7">
            <w:pPr>
              <w:keepNext w:val="0"/>
              <w:keepLines w:val="0"/>
              <w:pageBreakBefore w:val="0"/>
              <w:widowControl/>
              <w:kinsoku/>
              <w:wordWrap/>
              <w:overflowPunct/>
              <w:topLinePunct w:val="0"/>
              <w:autoSpaceDE/>
              <w:autoSpaceDN/>
              <w:bidi w:val="0"/>
              <w:adjustRightInd/>
              <w:snapToGrid/>
              <w:spacing w:line="230" w:lineRule="exact"/>
              <w:ind w:left="-63" w:leftChars="-30" w:right="-63" w:rightChars="-30"/>
              <w:jc w:val="both"/>
              <w:textAlignment w:val="auto"/>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b w:val="0"/>
                <w:bCs w:val="0"/>
                <w:color w:val="auto"/>
                <w:sz w:val="18"/>
                <w:szCs w:val="18"/>
              </w:rPr>
              <w:t>15.本指南所称的“儿童”，指6周岁及以下。周岁的计算方法以法律的相关规定为准。</w:t>
            </w:r>
          </w:p>
          <w:p w14:paraId="2775C17E">
            <w:pPr>
              <w:keepNext w:val="0"/>
              <w:keepLines w:val="0"/>
              <w:pageBreakBefore w:val="0"/>
              <w:widowControl/>
              <w:kinsoku/>
              <w:wordWrap/>
              <w:overflowPunct/>
              <w:topLinePunct w:val="0"/>
              <w:autoSpaceDE/>
              <w:autoSpaceDN/>
              <w:bidi w:val="0"/>
              <w:adjustRightInd/>
              <w:snapToGrid/>
              <w:spacing w:line="210" w:lineRule="exact"/>
              <w:ind w:left="-63" w:leftChars="-30" w:right="-63" w:rightChars="-30"/>
              <w:jc w:val="both"/>
              <w:textAlignment w:val="auto"/>
              <w:rPr>
                <w:rFonts w:hint="eastAsia" w:ascii="宋体" w:hAnsi="宋体" w:eastAsia="宋体" w:cs="宋体"/>
                <w:b/>
                <w:bCs/>
                <w:i w:val="0"/>
                <w:color w:val="auto"/>
                <w:sz w:val="20"/>
                <w:szCs w:val="20"/>
                <w:u w:val="none"/>
              </w:rPr>
            </w:pPr>
            <w:r>
              <w:rPr>
                <w:rFonts w:hint="eastAsia" w:ascii="仿宋_GB2312" w:hAnsi="仿宋_GB2312" w:eastAsia="仿宋_GB2312" w:cs="仿宋_GB2312"/>
                <w:b w:val="0"/>
                <w:bCs w:val="0"/>
                <w:color w:val="auto"/>
                <w:sz w:val="18"/>
                <w:szCs w:val="18"/>
              </w:rPr>
              <w:t>16.本指南中医类医疗服务价格项目中所称的“医师”，指具备中医类别执业（助理）医师资格或经培训合格的西学中人员。</w:t>
            </w:r>
          </w:p>
        </w:tc>
      </w:tr>
    </w:tbl>
    <w:p w14:paraId="6E83C04A">
      <w:pPr>
        <w:keepNext w:val="0"/>
        <w:keepLines w:val="0"/>
        <w:pageBreakBefore w:val="0"/>
        <w:widowControl/>
        <w:suppressLineNumbers w:val="0"/>
        <w:kinsoku/>
        <w:wordWrap/>
        <w:overflowPunct/>
        <w:topLinePunct w:val="0"/>
        <w:autoSpaceDE/>
        <w:autoSpaceDN/>
        <w:bidi w:val="0"/>
        <w:adjustRightInd/>
        <w:snapToGrid/>
        <w:spacing w:after="96" w:afterLines="30" w:line="480" w:lineRule="exact"/>
        <w:jc w:val="center"/>
        <w:textAlignment w:val="center"/>
        <w:rPr>
          <w:rFonts w:hint="eastAsia" w:ascii="方正小标宋简体" w:hAnsi="方正小标宋简体" w:eastAsia="方正小标宋简体" w:cs="方正小标宋简体"/>
          <w:i w:val="0"/>
          <w:color w:val="auto"/>
          <w:kern w:val="0"/>
          <w:sz w:val="11"/>
          <w:szCs w:val="11"/>
          <w:u w:val="none"/>
          <w:lang w:val="en-US" w:eastAsia="zh-CN" w:bidi="ar"/>
        </w:rPr>
      </w:pPr>
    </w:p>
    <w:tbl>
      <w:tblPr>
        <w:tblStyle w:val="10"/>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25"/>
        <w:gridCol w:w="915"/>
        <w:gridCol w:w="1740"/>
        <w:gridCol w:w="1361"/>
        <w:gridCol w:w="2747"/>
        <w:gridCol w:w="1984"/>
        <w:gridCol w:w="735"/>
        <w:gridCol w:w="735"/>
        <w:gridCol w:w="735"/>
        <w:gridCol w:w="735"/>
        <w:gridCol w:w="1395"/>
        <w:gridCol w:w="735"/>
        <w:gridCol w:w="2"/>
      </w:tblGrid>
      <w:tr w14:paraId="35049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735" w:hRule="atLeast"/>
          <w:tblHeader/>
          <w:jc w:val="center"/>
        </w:trPr>
        <w:tc>
          <w:tcPr>
            <w:tcW w:w="525" w:type="dxa"/>
            <w:shd w:val="clear" w:color="auto" w:fill="auto"/>
            <w:vAlign w:val="center"/>
          </w:tcPr>
          <w:p w14:paraId="494EABE6">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号</w:t>
            </w:r>
          </w:p>
        </w:tc>
        <w:tc>
          <w:tcPr>
            <w:tcW w:w="915" w:type="dxa"/>
            <w:shd w:val="clear" w:color="auto" w:fill="auto"/>
            <w:vAlign w:val="center"/>
          </w:tcPr>
          <w:p w14:paraId="5296A45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归集口径</w:t>
            </w:r>
          </w:p>
        </w:tc>
        <w:tc>
          <w:tcPr>
            <w:tcW w:w="1740" w:type="dxa"/>
            <w:shd w:val="clear" w:color="auto" w:fill="auto"/>
            <w:vAlign w:val="center"/>
          </w:tcPr>
          <w:p w14:paraId="3D44BDDE">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项目代码</w:t>
            </w:r>
          </w:p>
        </w:tc>
        <w:tc>
          <w:tcPr>
            <w:tcW w:w="1361" w:type="dxa"/>
            <w:shd w:val="clear" w:color="auto" w:fill="auto"/>
            <w:vAlign w:val="center"/>
          </w:tcPr>
          <w:p w14:paraId="06E4533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2747" w:type="dxa"/>
            <w:shd w:val="clear" w:color="auto" w:fill="auto"/>
            <w:vAlign w:val="center"/>
          </w:tcPr>
          <w:p w14:paraId="3E54DA78">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服务产出</w:t>
            </w:r>
          </w:p>
        </w:tc>
        <w:tc>
          <w:tcPr>
            <w:tcW w:w="1984" w:type="dxa"/>
            <w:shd w:val="clear" w:color="auto" w:fill="auto"/>
            <w:vAlign w:val="center"/>
          </w:tcPr>
          <w:p w14:paraId="733371F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价格构成</w:t>
            </w:r>
          </w:p>
        </w:tc>
        <w:tc>
          <w:tcPr>
            <w:tcW w:w="735" w:type="dxa"/>
            <w:shd w:val="clear" w:color="auto" w:fill="auto"/>
            <w:vAlign w:val="center"/>
          </w:tcPr>
          <w:p w14:paraId="4D147282">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单位</w:t>
            </w:r>
          </w:p>
        </w:tc>
        <w:tc>
          <w:tcPr>
            <w:tcW w:w="735" w:type="dxa"/>
            <w:shd w:val="clear" w:color="auto" w:fill="auto"/>
            <w:vAlign w:val="center"/>
          </w:tcPr>
          <w:p w14:paraId="5020E270">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三级</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价格（元）</w:t>
            </w:r>
          </w:p>
        </w:tc>
        <w:tc>
          <w:tcPr>
            <w:tcW w:w="735" w:type="dxa"/>
            <w:shd w:val="clear" w:color="auto" w:fill="auto"/>
            <w:vAlign w:val="center"/>
          </w:tcPr>
          <w:p w14:paraId="01930D97">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二级</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价格（元）</w:t>
            </w:r>
          </w:p>
        </w:tc>
        <w:tc>
          <w:tcPr>
            <w:tcW w:w="735" w:type="dxa"/>
            <w:shd w:val="clear" w:color="auto" w:fill="auto"/>
            <w:vAlign w:val="center"/>
          </w:tcPr>
          <w:p w14:paraId="1B3C92CE">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一级</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价格（元）</w:t>
            </w:r>
          </w:p>
        </w:tc>
        <w:tc>
          <w:tcPr>
            <w:tcW w:w="1395" w:type="dxa"/>
            <w:shd w:val="clear" w:color="auto" w:fill="auto"/>
            <w:vAlign w:val="center"/>
          </w:tcPr>
          <w:p w14:paraId="3CFAEF66">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计价说明</w:t>
            </w:r>
          </w:p>
        </w:tc>
        <w:tc>
          <w:tcPr>
            <w:tcW w:w="735" w:type="dxa"/>
            <w:shd w:val="clear" w:color="auto" w:fill="auto"/>
            <w:vAlign w:val="center"/>
          </w:tcPr>
          <w:p w14:paraId="6C9E17F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医保</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支付</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类别</w:t>
            </w:r>
          </w:p>
        </w:tc>
      </w:tr>
      <w:tr w14:paraId="7091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 w:type="dxa"/>
          <w:trHeight w:val="1695" w:hRule="atLeast"/>
          <w:jc w:val="center"/>
        </w:trPr>
        <w:tc>
          <w:tcPr>
            <w:tcW w:w="525" w:type="dxa"/>
            <w:shd w:val="clear" w:color="auto" w:fill="auto"/>
            <w:noWrap/>
            <w:vAlign w:val="center"/>
          </w:tcPr>
          <w:p w14:paraId="603AD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shd w:val="clear" w:color="auto" w:fill="auto"/>
            <w:vAlign w:val="center"/>
          </w:tcPr>
          <w:p w14:paraId="3D9DFA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01086912">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014200000010000</w:t>
            </w:r>
          </w:p>
        </w:tc>
        <w:tc>
          <w:tcPr>
            <w:tcW w:w="1361" w:type="dxa"/>
            <w:shd w:val="clear" w:color="auto" w:fill="auto"/>
            <w:vAlign w:val="center"/>
          </w:tcPr>
          <w:p w14:paraId="192D2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常规针法</w:t>
            </w:r>
          </w:p>
        </w:tc>
        <w:tc>
          <w:tcPr>
            <w:tcW w:w="2747" w:type="dxa"/>
            <w:shd w:val="clear" w:color="auto" w:fill="auto"/>
            <w:vAlign w:val="center"/>
          </w:tcPr>
          <w:p w14:paraId="7614269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由主治及以下医师根据病情选穴，通过基本手法和辅助手法，以毫针治疗疾病，促进疏通经络，调理脏腑，扶正祛邪。</w:t>
            </w:r>
          </w:p>
        </w:tc>
        <w:tc>
          <w:tcPr>
            <w:tcW w:w="1984" w:type="dxa"/>
            <w:shd w:val="clear" w:color="auto" w:fill="auto"/>
            <w:vAlign w:val="center"/>
          </w:tcPr>
          <w:p w14:paraId="5795C2C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所定价格涵盖穴位确定、消毒、选针、进针、行针、留针、出针、必要时行仪器辅助操作等过程中所需的人力资源和基本物质资源消耗，含设备投入及维护成本。</w:t>
            </w:r>
          </w:p>
        </w:tc>
        <w:tc>
          <w:tcPr>
            <w:tcW w:w="735" w:type="dxa"/>
            <w:shd w:val="clear" w:color="auto" w:fill="auto"/>
            <w:vAlign w:val="center"/>
          </w:tcPr>
          <w:p w14:paraId="5FE84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5B1C9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35" w:type="dxa"/>
            <w:shd w:val="clear" w:color="auto" w:fill="auto"/>
            <w:vAlign w:val="center"/>
          </w:tcPr>
          <w:p w14:paraId="46C5BC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735" w:type="dxa"/>
            <w:shd w:val="clear" w:color="auto" w:fill="auto"/>
            <w:vAlign w:val="center"/>
          </w:tcPr>
          <w:p w14:paraId="22880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395" w:type="dxa"/>
            <w:vMerge w:val="restart"/>
            <w:shd w:val="clear" w:color="auto" w:fill="auto"/>
            <w:vAlign w:val="center"/>
          </w:tcPr>
          <w:p w14:paraId="4A894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同时采用了常规针法、特殊针具针法、特殊手法针法中的两项或者三项，按收费标准最高的服务项目计费，不叠加计费；6周岁以下儿童加收30%；主任加收15%；副主任加收10%。</w:t>
            </w:r>
          </w:p>
        </w:tc>
        <w:tc>
          <w:tcPr>
            <w:tcW w:w="735" w:type="dxa"/>
            <w:shd w:val="clear" w:color="auto" w:fill="auto"/>
            <w:vAlign w:val="center"/>
          </w:tcPr>
          <w:p w14:paraId="29FF4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678D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491B1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shd w:val="clear" w:color="auto" w:fill="auto"/>
            <w:vAlign w:val="center"/>
          </w:tcPr>
          <w:p w14:paraId="70DD9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2286307B">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014200000010001</w:t>
            </w:r>
          </w:p>
        </w:tc>
        <w:tc>
          <w:tcPr>
            <w:tcW w:w="1361" w:type="dxa"/>
            <w:shd w:val="clear" w:color="auto" w:fill="auto"/>
            <w:vAlign w:val="center"/>
          </w:tcPr>
          <w:p w14:paraId="1A551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常规针法-儿童（加收）</w:t>
            </w:r>
          </w:p>
        </w:tc>
        <w:tc>
          <w:tcPr>
            <w:tcW w:w="2747" w:type="dxa"/>
            <w:shd w:val="clear" w:color="auto" w:fill="auto"/>
            <w:noWrap/>
            <w:vAlign w:val="center"/>
          </w:tcPr>
          <w:p w14:paraId="2E0C8A0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由主治及以下医师根据儿童病情选穴，通过基本手法和辅助手法，以毫针治疗疾病，促进疏通经络，调理脏腑，扶正祛邪。</w:t>
            </w:r>
          </w:p>
        </w:tc>
        <w:tc>
          <w:tcPr>
            <w:tcW w:w="1984" w:type="dxa"/>
            <w:shd w:val="clear" w:color="auto" w:fill="auto"/>
            <w:noWrap/>
            <w:vAlign w:val="center"/>
          </w:tcPr>
          <w:p w14:paraId="40F0E18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52BFA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53136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5" w:type="dxa"/>
            <w:shd w:val="clear" w:color="auto" w:fill="auto"/>
            <w:vAlign w:val="center"/>
          </w:tcPr>
          <w:p w14:paraId="5E8FD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735" w:type="dxa"/>
            <w:shd w:val="clear" w:color="auto" w:fill="auto"/>
            <w:vAlign w:val="center"/>
          </w:tcPr>
          <w:p w14:paraId="401EF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95" w:type="dxa"/>
            <w:vMerge w:val="continue"/>
            <w:shd w:val="clear" w:color="auto" w:fill="auto"/>
            <w:vAlign w:val="center"/>
          </w:tcPr>
          <w:p w14:paraId="58D630BB">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0DE59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A129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00FCB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15" w:type="dxa"/>
            <w:shd w:val="clear" w:color="auto" w:fill="auto"/>
            <w:vAlign w:val="center"/>
          </w:tcPr>
          <w:p w14:paraId="3CF0B1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0527A6B5">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014200000010011</w:t>
            </w:r>
          </w:p>
        </w:tc>
        <w:tc>
          <w:tcPr>
            <w:tcW w:w="1361" w:type="dxa"/>
            <w:shd w:val="clear" w:color="auto" w:fill="auto"/>
            <w:vAlign w:val="center"/>
          </w:tcPr>
          <w:p w14:paraId="05E08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常规针法-主任医师（加收）</w:t>
            </w:r>
          </w:p>
        </w:tc>
        <w:tc>
          <w:tcPr>
            <w:tcW w:w="2747" w:type="dxa"/>
            <w:shd w:val="clear" w:color="auto" w:fill="auto"/>
            <w:vAlign w:val="center"/>
          </w:tcPr>
          <w:p w14:paraId="55C6B21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由主任医师根据病情选穴，通过基本手法和辅助手法，以毫针治疗疾病，促进疏通经络，调理脏腑，扶正祛邪。</w:t>
            </w:r>
          </w:p>
        </w:tc>
        <w:tc>
          <w:tcPr>
            <w:tcW w:w="1984" w:type="dxa"/>
            <w:shd w:val="clear" w:color="auto" w:fill="auto"/>
            <w:vAlign w:val="center"/>
          </w:tcPr>
          <w:p w14:paraId="7A4D30E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144BD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08525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735" w:type="dxa"/>
            <w:shd w:val="clear" w:color="auto" w:fill="auto"/>
            <w:vAlign w:val="center"/>
          </w:tcPr>
          <w:p w14:paraId="781A2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735" w:type="dxa"/>
            <w:shd w:val="clear" w:color="auto" w:fill="auto"/>
            <w:vAlign w:val="center"/>
          </w:tcPr>
          <w:p w14:paraId="77F0F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95" w:type="dxa"/>
            <w:vMerge w:val="continue"/>
            <w:shd w:val="clear" w:color="auto" w:fill="auto"/>
            <w:vAlign w:val="center"/>
          </w:tcPr>
          <w:p w14:paraId="03760B92">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2049F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2B49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6EECD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15" w:type="dxa"/>
            <w:shd w:val="clear" w:color="auto" w:fill="auto"/>
            <w:vAlign w:val="center"/>
          </w:tcPr>
          <w:p w14:paraId="05DD0A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4DCBF244">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014200000010012</w:t>
            </w:r>
          </w:p>
        </w:tc>
        <w:tc>
          <w:tcPr>
            <w:tcW w:w="1361" w:type="dxa"/>
            <w:shd w:val="clear" w:color="auto" w:fill="auto"/>
            <w:vAlign w:val="center"/>
          </w:tcPr>
          <w:p w14:paraId="6FFD3A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常规针法-副主任医师（加收）</w:t>
            </w:r>
          </w:p>
        </w:tc>
        <w:tc>
          <w:tcPr>
            <w:tcW w:w="2747" w:type="dxa"/>
            <w:shd w:val="clear" w:color="auto" w:fill="auto"/>
            <w:vAlign w:val="center"/>
          </w:tcPr>
          <w:p w14:paraId="6BC755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由副主任医师根据病情选穴，通过基本手法和辅助手法，以毫针治疗疾病，促进疏通经络，调理脏腑，扶正祛邪。</w:t>
            </w:r>
          </w:p>
        </w:tc>
        <w:tc>
          <w:tcPr>
            <w:tcW w:w="1984" w:type="dxa"/>
            <w:shd w:val="clear" w:color="auto" w:fill="auto"/>
            <w:vAlign w:val="center"/>
          </w:tcPr>
          <w:p w14:paraId="726FAB0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16D5E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6B942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35" w:type="dxa"/>
            <w:shd w:val="clear" w:color="auto" w:fill="auto"/>
            <w:vAlign w:val="center"/>
          </w:tcPr>
          <w:p w14:paraId="5D7A8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735" w:type="dxa"/>
            <w:shd w:val="clear" w:color="auto" w:fill="auto"/>
            <w:vAlign w:val="center"/>
          </w:tcPr>
          <w:p w14:paraId="40DA4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95" w:type="dxa"/>
            <w:vMerge w:val="continue"/>
            <w:shd w:val="clear" w:color="auto" w:fill="auto"/>
            <w:vAlign w:val="center"/>
          </w:tcPr>
          <w:p w14:paraId="7B4B871D">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3032F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21B0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695" w:hRule="atLeast"/>
          <w:jc w:val="center"/>
        </w:trPr>
        <w:tc>
          <w:tcPr>
            <w:tcW w:w="525" w:type="dxa"/>
            <w:shd w:val="clear" w:color="auto" w:fill="auto"/>
            <w:noWrap/>
            <w:vAlign w:val="center"/>
          </w:tcPr>
          <w:p w14:paraId="172BB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15" w:type="dxa"/>
            <w:shd w:val="clear" w:color="auto" w:fill="auto"/>
            <w:vAlign w:val="center"/>
          </w:tcPr>
          <w:p w14:paraId="6650D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3B7166E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014200000020000</w:t>
            </w:r>
          </w:p>
        </w:tc>
        <w:tc>
          <w:tcPr>
            <w:tcW w:w="1361" w:type="dxa"/>
            <w:shd w:val="clear" w:color="auto" w:fill="auto"/>
            <w:vAlign w:val="center"/>
          </w:tcPr>
          <w:p w14:paraId="0C3D7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特殊针具针法</w:t>
            </w:r>
          </w:p>
        </w:tc>
        <w:tc>
          <w:tcPr>
            <w:tcW w:w="2747" w:type="dxa"/>
            <w:shd w:val="clear" w:color="auto" w:fill="auto"/>
            <w:vAlign w:val="center"/>
          </w:tcPr>
          <w:p w14:paraId="2587518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由主治及以下医师根据病情选穴，通过基本手法和辅助手法，以特殊针具治疗疾病，促进疏通经络，调理脏腑，扶正祛邪。</w:t>
            </w:r>
          </w:p>
        </w:tc>
        <w:tc>
          <w:tcPr>
            <w:tcW w:w="1984" w:type="dxa"/>
            <w:shd w:val="clear" w:color="auto" w:fill="auto"/>
            <w:vAlign w:val="center"/>
          </w:tcPr>
          <w:p w14:paraId="0FC9D72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所定价格涵盖穴位确定、消毒、选针、进针、行针、留针、出针、必要时行仪器辅助操作等过程中所需的人力资源和基本物质资源消耗，含设备投入及维护成本。</w:t>
            </w:r>
          </w:p>
        </w:tc>
        <w:tc>
          <w:tcPr>
            <w:tcW w:w="735" w:type="dxa"/>
            <w:shd w:val="clear" w:color="auto" w:fill="auto"/>
            <w:vAlign w:val="center"/>
          </w:tcPr>
          <w:p w14:paraId="57348A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0D2FB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735" w:type="dxa"/>
            <w:shd w:val="clear" w:color="auto" w:fill="auto"/>
            <w:vAlign w:val="center"/>
          </w:tcPr>
          <w:p w14:paraId="383D0C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735" w:type="dxa"/>
            <w:shd w:val="clear" w:color="auto" w:fill="auto"/>
            <w:vAlign w:val="center"/>
          </w:tcPr>
          <w:p w14:paraId="3A729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395" w:type="dxa"/>
            <w:vMerge w:val="restart"/>
            <w:shd w:val="clear" w:color="auto" w:fill="auto"/>
            <w:vAlign w:val="center"/>
          </w:tcPr>
          <w:p w14:paraId="0DCA8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同时采用了常规针法、特殊针具针法、特殊手法针法中的两项或者三项，按收费标准最高的服务项目计费，不叠加计费；6周岁以下儿童加收30%；主任加收15%；副主任加收10%。</w:t>
            </w:r>
          </w:p>
        </w:tc>
        <w:tc>
          <w:tcPr>
            <w:tcW w:w="735" w:type="dxa"/>
            <w:shd w:val="clear" w:color="auto" w:fill="auto"/>
            <w:vAlign w:val="center"/>
          </w:tcPr>
          <w:p w14:paraId="500D1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0FD3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455" w:hRule="atLeast"/>
          <w:jc w:val="center"/>
        </w:trPr>
        <w:tc>
          <w:tcPr>
            <w:tcW w:w="525" w:type="dxa"/>
            <w:shd w:val="clear" w:color="auto" w:fill="auto"/>
            <w:noWrap/>
            <w:vAlign w:val="center"/>
          </w:tcPr>
          <w:p w14:paraId="5886A4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15" w:type="dxa"/>
            <w:shd w:val="clear" w:color="auto" w:fill="auto"/>
            <w:vAlign w:val="center"/>
          </w:tcPr>
          <w:p w14:paraId="2C739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3241C96A">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014200000020001</w:t>
            </w:r>
          </w:p>
        </w:tc>
        <w:tc>
          <w:tcPr>
            <w:tcW w:w="1361" w:type="dxa"/>
            <w:shd w:val="clear" w:color="auto" w:fill="auto"/>
            <w:vAlign w:val="center"/>
          </w:tcPr>
          <w:p w14:paraId="56F01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特殊针具针法-儿童（加收）</w:t>
            </w:r>
          </w:p>
        </w:tc>
        <w:tc>
          <w:tcPr>
            <w:tcW w:w="2747" w:type="dxa"/>
            <w:shd w:val="clear" w:color="auto" w:fill="auto"/>
            <w:vAlign w:val="center"/>
          </w:tcPr>
          <w:p w14:paraId="7EFEA48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由主治及以下医师根据儿童病情选穴，通过基本手法和辅助手法，以特殊针具治疗疾病，促进疏通经络，调理脏腑，扶正祛邪。</w:t>
            </w:r>
          </w:p>
        </w:tc>
        <w:tc>
          <w:tcPr>
            <w:tcW w:w="1984" w:type="dxa"/>
            <w:shd w:val="clear" w:color="auto" w:fill="auto"/>
            <w:vAlign w:val="center"/>
          </w:tcPr>
          <w:p w14:paraId="378A761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38792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25C33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735" w:type="dxa"/>
            <w:shd w:val="clear" w:color="auto" w:fill="auto"/>
            <w:vAlign w:val="center"/>
          </w:tcPr>
          <w:p w14:paraId="638FE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735" w:type="dxa"/>
            <w:shd w:val="clear" w:color="auto" w:fill="auto"/>
            <w:vAlign w:val="center"/>
          </w:tcPr>
          <w:p w14:paraId="79357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395" w:type="dxa"/>
            <w:vMerge w:val="continue"/>
            <w:shd w:val="clear" w:color="auto" w:fill="auto"/>
            <w:vAlign w:val="center"/>
          </w:tcPr>
          <w:p w14:paraId="05C6B0DE">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3C44B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DB3A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38E68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915" w:type="dxa"/>
            <w:shd w:val="clear" w:color="auto" w:fill="auto"/>
            <w:vAlign w:val="center"/>
          </w:tcPr>
          <w:p w14:paraId="5F730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338FEF21">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014200000020011</w:t>
            </w:r>
          </w:p>
        </w:tc>
        <w:tc>
          <w:tcPr>
            <w:tcW w:w="1361" w:type="dxa"/>
            <w:shd w:val="clear" w:color="auto" w:fill="auto"/>
            <w:vAlign w:val="center"/>
          </w:tcPr>
          <w:p w14:paraId="72158E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特殊针具针法-主任医师（加收）</w:t>
            </w:r>
          </w:p>
        </w:tc>
        <w:tc>
          <w:tcPr>
            <w:tcW w:w="2747" w:type="dxa"/>
            <w:shd w:val="clear" w:color="auto" w:fill="auto"/>
            <w:vAlign w:val="center"/>
          </w:tcPr>
          <w:p w14:paraId="47C80E9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由主任医师根据病情选穴，通过基本手法和辅助手法，以特殊针具治疗疾病，促进疏通经络，调理脏腑，扶正祛邪。</w:t>
            </w:r>
          </w:p>
        </w:tc>
        <w:tc>
          <w:tcPr>
            <w:tcW w:w="1984" w:type="dxa"/>
            <w:shd w:val="clear" w:color="auto" w:fill="auto"/>
            <w:vAlign w:val="center"/>
          </w:tcPr>
          <w:p w14:paraId="4D6E8E2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63DBA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406FA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735" w:type="dxa"/>
            <w:shd w:val="clear" w:color="auto" w:fill="auto"/>
            <w:vAlign w:val="center"/>
          </w:tcPr>
          <w:p w14:paraId="36774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735" w:type="dxa"/>
            <w:shd w:val="clear" w:color="auto" w:fill="auto"/>
            <w:vAlign w:val="center"/>
          </w:tcPr>
          <w:p w14:paraId="566C4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95" w:type="dxa"/>
            <w:vMerge w:val="continue"/>
            <w:shd w:val="clear" w:color="auto" w:fill="auto"/>
            <w:vAlign w:val="center"/>
          </w:tcPr>
          <w:p w14:paraId="29450AF9">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2E357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AE6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3F79A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15" w:type="dxa"/>
            <w:shd w:val="clear" w:color="auto" w:fill="auto"/>
            <w:vAlign w:val="center"/>
          </w:tcPr>
          <w:p w14:paraId="6CF71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5F005892">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014200000020012</w:t>
            </w:r>
          </w:p>
        </w:tc>
        <w:tc>
          <w:tcPr>
            <w:tcW w:w="1361" w:type="dxa"/>
            <w:shd w:val="clear" w:color="auto" w:fill="auto"/>
            <w:vAlign w:val="center"/>
          </w:tcPr>
          <w:p w14:paraId="66E12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特殊针具针法-副主任医师（加收）</w:t>
            </w:r>
          </w:p>
        </w:tc>
        <w:tc>
          <w:tcPr>
            <w:tcW w:w="2747" w:type="dxa"/>
            <w:shd w:val="clear" w:color="auto" w:fill="auto"/>
            <w:vAlign w:val="center"/>
          </w:tcPr>
          <w:p w14:paraId="265EC0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由副主任医师根据病情选穴，通过基本手法和辅助手法，以特殊针具治疗疾病，促进疏通经络，调理脏腑，扶正祛邪。</w:t>
            </w:r>
          </w:p>
        </w:tc>
        <w:tc>
          <w:tcPr>
            <w:tcW w:w="1984" w:type="dxa"/>
            <w:shd w:val="clear" w:color="auto" w:fill="auto"/>
            <w:vAlign w:val="center"/>
          </w:tcPr>
          <w:p w14:paraId="280F00C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706D67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1E1E0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735" w:type="dxa"/>
            <w:shd w:val="clear" w:color="auto" w:fill="auto"/>
            <w:vAlign w:val="center"/>
          </w:tcPr>
          <w:p w14:paraId="50D1F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735" w:type="dxa"/>
            <w:shd w:val="clear" w:color="auto" w:fill="auto"/>
            <w:vAlign w:val="center"/>
          </w:tcPr>
          <w:p w14:paraId="1C72C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95" w:type="dxa"/>
            <w:vMerge w:val="continue"/>
            <w:shd w:val="clear" w:color="auto" w:fill="auto"/>
            <w:vAlign w:val="center"/>
          </w:tcPr>
          <w:p w14:paraId="7D2804E8">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17D59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FF1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695" w:hRule="atLeast"/>
          <w:jc w:val="center"/>
        </w:trPr>
        <w:tc>
          <w:tcPr>
            <w:tcW w:w="525" w:type="dxa"/>
            <w:shd w:val="clear" w:color="auto" w:fill="auto"/>
            <w:noWrap/>
            <w:vAlign w:val="center"/>
          </w:tcPr>
          <w:p w14:paraId="677CE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15" w:type="dxa"/>
            <w:shd w:val="clear" w:color="auto" w:fill="auto"/>
            <w:vAlign w:val="center"/>
          </w:tcPr>
          <w:p w14:paraId="07822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214CBED5">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014200000030000</w:t>
            </w:r>
          </w:p>
        </w:tc>
        <w:tc>
          <w:tcPr>
            <w:tcW w:w="1361" w:type="dxa"/>
            <w:shd w:val="clear" w:color="auto" w:fill="auto"/>
            <w:vAlign w:val="center"/>
          </w:tcPr>
          <w:p w14:paraId="5EDC7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特殊手法针法</w:t>
            </w:r>
          </w:p>
        </w:tc>
        <w:tc>
          <w:tcPr>
            <w:tcW w:w="2747" w:type="dxa"/>
            <w:shd w:val="clear" w:color="auto" w:fill="auto"/>
            <w:vAlign w:val="center"/>
          </w:tcPr>
          <w:p w14:paraId="77973A3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由主治及以下医师根据病情，采取特殊开穴方法或通过毫针特殊手法，治疗疾病，促进疏通经络，调理脏腑，扶正祛邪。</w:t>
            </w:r>
          </w:p>
        </w:tc>
        <w:tc>
          <w:tcPr>
            <w:tcW w:w="1984" w:type="dxa"/>
            <w:shd w:val="clear" w:color="auto" w:fill="auto"/>
            <w:vAlign w:val="center"/>
          </w:tcPr>
          <w:p w14:paraId="533DECA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所定价格涵盖穴位确定、消毒、选针、进针、行针、留针、出针、必要时行仪器辅助操作等过程中所需的人力资源和基本物质资源消耗，含设备投入及维护成本。</w:t>
            </w:r>
          </w:p>
        </w:tc>
        <w:tc>
          <w:tcPr>
            <w:tcW w:w="735" w:type="dxa"/>
            <w:shd w:val="clear" w:color="auto" w:fill="auto"/>
            <w:vAlign w:val="center"/>
          </w:tcPr>
          <w:p w14:paraId="0690E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36C817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735" w:type="dxa"/>
            <w:shd w:val="clear" w:color="auto" w:fill="auto"/>
            <w:vAlign w:val="center"/>
          </w:tcPr>
          <w:p w14:paraId="65B89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735" w:type="dxa"/>
            <w:shd w:val="clear" w:color="auto" w:fill="auto"/>
            <w:vAlign w:val="center"/>
          </w:tcPr>
          <w:p w14:paraId="54BF7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395" w:type="dxa"/>
            <w:vMerge w:val="restart"/>
            <w:shd w:val="clear" w:color="auto" w:fill="auto"/>
            <w:vAlign w:val="center"/>
          </w:tcPr>
          <w:p w14:paraId="6329A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同时采用了常规针法、特殊针具针法、特殊手法针法中的两项或者三项，按收费标准最高的服务项目计费，不叠加计费；6周岁以下儿童加收30%；主任加收15%；副主任加收10%。</w:t>
            </w:r>
          </w:p>
        </w:tc>
        <w:tc>
          <w:tcPr>
            <w:tcW w:w="735" w:type="dxa"/>
            <w:shd w:val="clear" w:color="auto" w:fill="auto"/>
            <w:vAlign w:val="center"/>
          </w:tcPr>
          <w:p w14:paraId="606AE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05B4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 w:type="dxa"/>
          <w:trHeight w:val="1455" w:hRule="atLeast"/>
          <w:jc w:val="center"/>
        </w:trPr>
        <w:tc>
          <w:tcPr>
            <w:tcW w:w="525" w:type="dxa"/>
            <w:shd w:val="clear" w:color="auto" w:fill="auto"/>
            <w:noWrap/>
            <w:vAlign w:val="center"/>
          </w:tcPr>
          <w:p w14:paraId="4ABF6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15" w:type="dxa"/>
            <w:shd w:val="clear" w:color="auto" w:fill="auto"/>
            <w:vAlign w:val="center"/>
          </w:tcPr>
          <w:p w14:paraId="445E7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0AACFC37">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014200000030001</w:t>
            </w:r>
          </w:p>
        </w:tc>
        <w:tc>
          <w:tcPr>
            <w:tcW w:w="1361" w:type="dxa"/>
            <w:shd w:val="clear" w:color="auto" w:fill="auto"/>
            <w:vAlign w:val="center"/>
          </w:tcPr>
          <w:p w14:paraId="35B72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特殊手法针法-儿童（加收）</w:t>
            </w:r>
          </w:p>
        </w:tc>
        <w:tc>
          <w:tcPr>
            <w:tcW w:w="2747" w:type="dxa"/>
            <w:shd w:val="clear" w:color="auto" w:fill="auto"/>
            <w:vAlign w:val="center"/>
          </w:tcPr>
          <w:p w14:paraId="7A6CE7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由主治及以下医师根据儿童病情，采取特殊开穴方法或通过毫针特殊手法，治疗疾病，促进疏通经络，调理脏腑，扶正祛邪。</w:t>
            </w:r>
          </w:p>
        </w:tc>
        <w:tc>
          <w:tcPr>
            <w:tcW w:w="1984" w:type="dxa"/>
            <w:shd w:val="clear" w:color="auto" w:fill="auto"/>
            <w:vAlign w:val="center"/>
          </w:tcPr>
          <w:p w14:paraId="4F81BC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1529B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3DB55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735" w:type="dxa"/>
            <w:shd w:val="clear" w:color="auto" w:fill="auto"/>
            <w:vAlign w:val="center"/>
          </w:tcPr>
          <w:p w14:paraId="51F9F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735" w:type="dxa"/>
            <w:shd w:val="clear" w:color="auto" w:fill="auto"/>
            <w:vAlign w:val="center"/>
          </w:tcPr>
          <w:p w14:paraId="6897E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395" w:type="dxa"/>
            <w:vMerge w:val="continue"/>
            <w:shd w:val="clear" w:color="auto" w:fill="auto"/>
            <w:vAlign w:val="center"/>
          </w:tcPr>
          <w:p w14:paraId="148D7C5C">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299EA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91F3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22C9F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915" w:type="dxa"/>
            <w:shd w:val="clear" w:color="auto" w:fill="auto"/>
            <w:vAlign w:val="center"/>
          </w:tcPr>
          <w:p w14:paraId="3FF8A0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44C6EB34">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014200000030011</w:t>
            </w:r>
          </w:p>
        </w:tc>
        <w:tc>
          <w:tcPr>
            <w:tcW w:w="1361" w:type="dxa"/>
            <w:shd w:val="clear" w:color="auto" w:fill="auto"/>
            <w:vAlign w:val="center"/>
          </w:tcPr>
          <w:p w14:paraId="3AD85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特殊手法针法-主任医师（加收）</w:t>
            </w:r>
          </w:p>
        </w:tc>
        <w:tc>
          <w:tcPr>
            <w:tcW w:w="2747" w:type="dxa"/>
            <w:shd w:val="clear" w:color="auto" w:fill="auto"/>
            <w:vAlign w:val="center"/>
          </w:tcPr>
          <w:p w14:paraId="4D5B782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由主任医师根据病情，采取特殊开穴方法或通过毫针特殊手法，治疗疾病，促进疏通经络，调理脏腑，扶正祛邪。</w:t>
            </w:r>
          </w:p>
        </w:tc>
        <w:tc>
          <w:tcPr>
            <w:tcW w:w="1984" w:type="dxa"/>
            <w:shd w:val="clear" w:color="auto" w:fill="auto"/>
            <w:vAlign w:val="center"/>
          </w:tcPr>
          <w:p w14:paraId="7EBA693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28EC3F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69699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735" w:type="dxa"/>
            <w:shd w:val="clear" w:color="auto" w:fill="auto"/>
            <w:vAlign w:val="center"/>
          </w:tcPr>
          <w:p w14:paraId="44798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735" w:type="dxa"/>
            <w:shd w:val="clear" w:color="auto" w:fill="auto"/>
            <w:vAlign w:val="center"/>
          </w:tcPr>
          <w:p w14:paraId="6AA54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395" w:type="dxa"/>
            <w:vMerge w:val="continue"/>
            <w:shd w:val="clear" w:color="auto" w:fill="auto"/>
            <w:vAlign w:val="center"/>
          </w:tcPr>
          <w:p w14:paraId="1FBBC25A">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65D64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B302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082EA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15" w:type="dxa"/>
            <w:shd w:val="clear" w:color="auto" w:fill="auto"/>
            <w:vAlign w:val="center"/>
          </w:tcPr>
          <w:p w14:paraId="7F9F9B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10C5D07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014200000030012</w:t>
            </w:r>
          </w:p>
        </w:tc>
        <w:tc>
          <w:tcPr>
            <w:tcW w:w="1361" w:type="dxa"/>
            <w:shd w:val="clear" w:color="auto" w:fill="auto"/>
            <w:vAlign w:val="center"/>
          </w:tcPr>
          <w:p w14:paraId="4F599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特殊手法针法-副主任医师（加收）</w:t>
            </w:r>
          </w:p>
        </w:tc>
        <w:tc>
          <w:tcPr>
            <w:tcW w:w="2747" w:type="dxa"/>
            <w:shd w:val="clear" w:color="auto" w:fill="auto"/>
            <w:vAlign w:val="center"/>
          </w:tcPr>
          <w:p w14:paraId="5F0C3F4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由副主任医师根据病情，采取特殊开穴方法或通过毫针特殊手法，治疗疾病，促进疏通经络，调理脏腑，扶正祛邪。</w:t>
            </w:r>
          </w:p>
        </w:tc>
        <w:tc>
          <w:tcPr>
            <w:tcW w:w="1984" w:type="dxa"/>
            <w:shd w:val="clear" w:color="auto" w:fill="auto"/>
            <w:vAlign w:val="center"/>
          </w:tcPr>
          <w:p w14:paraId="62894AF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16FA3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2B5BC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35" w:type="dxa"/>
            <w:shd w:val="clear" w:color="auto" w:fill="auto"/>
            <w:vAlign w:val="center"/>
          </w:tcPr>
          <w:p w14:paraId="58784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735" w:type="dxa"/>
            <w:shd w:val="clear" w:color="auto" w:fill="auto"/>
            <w:vAlign w:val="center"/>
          </w:tcPr>
          <w:p w14:paraId="6A856F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395" w:type="dxa"/>
            <w:vMerge w:val="continue"/>
            <w:shd w:val="clear" w:color="auto" w:fill="auto"/>
            <w:vAlign w:val="center"/>
          </w:tcPr>
          <w:p w14:paraId="49F209A8">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25AF5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8D75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695" w:hRule="atLeast"/>
          <w:jc w:val="center"/>
        </w:trPr>
        <w:tc>
          <w:tcPr>
            <w:tcW w:w="525" w:type="dxa"/>
            <w:shd w:val="clear" w:color="auto" w:fill="auto"/>
            <w:noWrap/>
            <w:vAlign w:val="center"/>
          </w:tcPr>
          <w:p w14:paraId="2D3C8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15" w:type="dxa"/>
            <w:shd w:val="clear" w:color="auto" w:fill="auto"/>
            <w:vAlign w:val="center"/>
          </w:tcPr>
          <w:p w14:paraId="1746B1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633B7918">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014200000040000</w:t>
            </w:r>
          </w:p>
        </w:tc>
        <w:tc>
          <w:tcPr>
            <w:tcW w:w="1361" w:type="dxa"/>
            <w:shd w:val="clear" w:color="auto" w:fill="auto"/>
            <w:vAlign w:val="center"/>
          </w:tcPr>
          <w:p w14:paraId="4BDF7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特殊穴位（部位）针法</w:t>
            </w:r>
          </w:p>
        </w:tc>
        <w:tc>
          <w:tcPr>
            <w:tcW w:w="2747" w:type="dxa"/>
            <w:shd w:val="clear" w:color="auto" w:fill="auto"/>
            <w:vAlign w:val="center"/>
          </w:tcPr>
          <w:p w14:paraId="6EB22BE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由主治及以下医师根据病情选穴，采用毫针进行特殊穴位的刺激，治疗疾病，促进疏通经络，调理脏腑，扶正祛邪。</w:t>
            </w:r>
          </w:p>
        </w:tc>
        <w:tc>
          <w:tcPr>
            <w:tcW w:w="1984" w:type="dxa"/>
            <w:shd w:val="clear" w:color="auto" w:fill="auto"/>
            <w:vAlign w:val="center"/>
          </w:tcPr>
          <w:p w14:paraId="11E6976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所定价格涵盖部位确定、消毒、选针、进针、行针、留针、出针、必要时行仪器辅助操作等过程中所需的人力资源和基本物质资源消耗，含设备投入及维护成本。</w:t>
            </w:r>
          </w:p>
        </w:tc>
        <w:tc>
          <w:tcPr>
            <w:tcW w:w="735" w:type="dxa"/>
            <w:shd w:val="clear" w:color="auto" w:fill="auto"/>
            <w:vAlign w:val="center"/>
          </w:tcPr>
          <w:p w14:paraId="52E91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63AF8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5" w:type="dxa"/>
            <w:shd w:val="clear" w:color="auto" w:fill="auto"/>
            <w:vAlign w:val="center"/>
          </w:tcPr>
          <w:p w14:paraId="1A6F1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35" w:type="dxa"/>
            <w:shd w:val="clear" w:color="auto" w:fill="auto"/>
            <w:vAlign w:val="center"/>
          </w:tcPr>
          <w:p w14:paraId="23E41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395" w:type="dxa"/>
            <w:shd w:val="clear" w:color="auto" w:fill="auto"/>
            <w:vAlign w:val="center"/>
          </w:tcPr>
          <w:p w14:paraId="5A28134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超过5个穴位按5个穴位收费；6周岁以下儿童加收30%;主任加收15%；副主任加收10%。</w:t>
            </w:r>
          </w:p>
        </w:tc>
        <w:tc>
          <w:tcPr>
            <w:tcW w:w="735" w:type="dxa"/>
            <w:shd w:val="clear" w:color="auto" w:fill="auto"/>
            <w:vAlign w:val="center"/>
          </w:tcPr>
          <w:p w14:paraId="43FD7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2740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506B2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915" w:type="dxa"/>
            <w:shd w:val="clear" w:color="auto" w:fill="auto"/>
            <w:vAlign w:val="center"/>
          </w:tcPr>
          <w:p w14:paraId="089CA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49BB943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014200000040001</w:t>
            </w:r>
          </w:p>
        </w:tc>
        <w:tc>
          <w:tcPr>
            <w:tcW w:w="1361" w:type="dxa"/>
            <w:shd w:val="clear" w:color="auto" w:fill="auto"/>
            <w:vAlign w:val="center"/>
          </w:tcPr>
          <w:p w14:paraId="458A7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特殊穴位（部位）针法-儿童（加收）</w:t>
            </w:r>
          </w:p>
        </w:tc>
        <w:tc>
          <w:tcPr>
            <w:tcW w:w="2747" w:type="dxa"/>
            <w:shd w:val="clear" w:color="auto" w:fill="auto"/>
            <w:vAlign w:val="center"/>
          </w:tcPr>
          <w:p w14:paraId="7F7CAFE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由主治及以下医师根据儿童病情选穴，采用毫针进行特殊穴位的刺激，治疗疾病，促进疏通经络，调理脏腑，扶正祛邪。</w:t>
            </w:r>
          </w:p>
        </w:tc>
        <w:tc>
          <w:tcPr>
            <w:tcW w:w="1984" w:type="dxa"/>
            <w:shd w:val="clear" w:color="auto" w:fill="auto"/>
            <w:vAlign w:val="center"/>
          </w:tcPr>
          <w:p w14:paraId="062A10A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6DE1E6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25BC21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35" w:type="dxa"/>
            <w:shd w:val="clear" w:color="auto" w:fill="auto"/>
            <w:vAlign w:val="center"/>
          </w:tcPr>
          <w:p w14:paraId="121C2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735" w:type="dxa"/>
            <w:shd w:val="clear" w:color="auto" w:fill="auto"/>
            <w:vAlign w:val="center"/>
          </w:tcPr>
          <w:p w14:paraId="4BB20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395" w:type="dxa"/>
            <w:shd w:val="clear" w:color="auto" w:fill="auto"/>
            <w:vAlign w:val="center"/>
          </w:tcPr>
          <w:p w14:paraId="2B6ECB56">
            <w:pPr>
              <w:jc w:val="both"/>
              <w:rPr>
                <w:rFonts w:hint="eastAsia" w:ascii="宋体" w:hAnsi="宋体" w:eastAsia="宋体" w:cs="宋体"/>
                <w:i w:val="0"/>
                <w:iCs w:val="0"/>
                <w:color w:val="000000"/>
                <w:sz w:val="20"/>
                <w:szCs w:val="20"/>
                <w:u w:val="none"/>
              </w:rPr>
            </w:pPr>
          </w:p>
        </w:tc>
        <w:tc>
          <w:tcPr>
            <w:tcW w:w="735" w:type="dxa"/>
            <w:shd w:val="clear" w:color="auto" w:fill="auto"/>
            <w:vAlign w:val="center"/>
          </w:tcPr>
          <w:p w14:paraId="0E72C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BE6A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7F735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15" w:type="dxa"/>
            <w:shd w:val="clear" w:color="auto" w:fill="auto"/>
            <w:vAlign w:val="center"/>
          </w:tcPr>
          <w:p w14:paraId="7D6BBE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19E85635">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014200000040011</w:t>
            </w:r>
          </w:p>
        </w:tc>
        <w:tc>
          <w:tcPr>
            <w:tcW w:w="1361" w:type="dxa"/>
            <w:shd w:val="clear" w:color="auto" w:fill="auto"/>
            <w:vAlign w:val="center"/>
          </w:tcPr>
          <w:p w14:paraId="68D35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特殊穴位（部位）针法-主任医师（加收）</w:t>
            </w:r>
          </w:p>
        </w:tc>
        <w:tc>
          <w:tcPr>
            <w:tcW w:w="2747" w:type="dxa"/>
            <w:shd w:val="clear" w:color="auto" w:fill="auto"/>
            <w:vAlign w:val="center"/>
          </w:tcPr>
          <w:p w14:paraId="59C88E6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由主任医师根据病情选穴，采用毫针进行特殊穴位的刺激，治疗疾病，促进疏通经络，调理脏腑，扶正祛邪。</w:t>
            </w:r>
          </w:p>
        </w:tc>
        <w:tc>
          <w:tcPr>
            <w:tcW w:w="1984" w:type="dxa"/>
            <w:shd w:val="clear" w:color="auto" w:fill="auto"/>
            <w:vAlign w:val="center"/>
          </w:tcPr>
          <w:p w14:paraId="1427F7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339EF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51D4A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35" w:type="dxa"/>
            <w:shd w:val="clear" w:color="auto" w:fill="auto"/>
            <w:vAlign w:val="center"/>
          </w:tcPr>
          <w:p w14:paraId="56D884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35" w:type="dxa"/>
            <w:shd w:val="clear" w:color="auto" w:fill="auto"/>
            <w:vAlign w:val="center"/>
          </w:tcPr>
          <w:p w14:paraId="583A3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95" w:type="dxa"/>
            <w:shd w:val="clear" w:color="auto" w:fill="auto"/>
            <w:vAlign w:val="center"/>
          </w:tcPr>
          <w:p w14:paraId="34081E56">
            <w:pPr>
              <w:jc w:val="both"/>
              <w:rPr>
                <w:rFonts w:hint="eastAsia" w:ascii="宋体" w:hAnsi="宋体" w:eastAsia="宋体" w:cs="宋体"/>
                <w:i w:val="0"/>
                <w:iCs w:val="0"/>
                <w:color w:val="000000"/>
                <w:sz w:val="20"/>
                <w:szCs w:val="20"/>
                <w:u w:val="none"/>
              </w:rPr>
            </w:pPr>
          </w:p>
        </w:tc>
        <w:tc>
          <w:tcPr>
            <w:tcW w:w="735" w:type="dxa"/>
            <w:shd w:val="clear" w:color="auto" w:fill="auto"/>
            <w:vAlign w:val="center"/>
          </w:tcPr>
          <w:p w14:paraId="3FB3A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9065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5C8CC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15" w:type="dxa"/>
            <w:shd w:val="clear" w:color="auto" w:fill="auto"/>
            <w:vAlign w:val="center"/>
          </w:tcPr>
          <w:p w14:paraId="46B80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6B9B7147">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014200000040012</w:t>
            </w:r>
          </w:p>
        </w:tc>
        <w:tc>
          <w:tcPr>
            <w:tcW w:w="1361" w:type="dxa"/>
            <w:shd w:val="clear" w:color="auto" w:fill="auto"/>
            <w:vAlign w:val="center"/>
          </w:tcPr>
          <w:p w14:paraId="62EC9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特殊穴位（部位）针法-副主任医师（加收）</w:t>
            </w:r>
          </w:p>
        </w:tc>
        <w:tc>
          <w:tcPr>
            <w:tcW w:w="2747" w:type="dxa"/>
            <w:shd w:val="clear" w:color="auto" w:fill="auto"/>
            <w:vAlign w:val="center"/>
          </w:tcPr>
          <w:p w14:paraId="00AD20C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由副主任医师根据病情选穴，采用毫针进行特殊穴位的刺激，治疗疾病，促进疏通经络，调理脏腑，扶正祛邪。</w:t>
            </w:r>
          </w:p>
        </w:tc>
        <w:tc>
          <w:tcPr>
            <w:tcW w:w="1984" w:type="dxa"/>
            <w:shd w:val="clear" w:color="auto" w:fill="auto"/>
            <w:vAlign w:val="center"/>
          </w:tcPr>
          <w:p w14:paraId="34417980">
            <w:pPr>
              <w:jc w:val="both"/>
              <w:rPr>
                <w:rFonts w:hint="eastAsia" w:ascii="宋体" w:hAnsi="宋体" w:eastAsia="宋体" w:cs="宋体"/>
                <w:i w:val="0"/>
                <w:iCs w:val="0"/>
                <w:color w:val="000000"/>
                <w:sz w:val="20"/>
                <w:szCs w:val="20"/>
                <w:u w:val="none"/>
              </w:rPr>
            </w:pPr>
          </w:p>
        </w:tc>
        <w:tc>
          <w:tcPr>
            <w:tcW w:w="735" w:type="dxa"/>
            <w:shd w:val="clear" w:color="auto" w:fill="auto"/>
            <w:vAlign w:val="center"/>
          </w:tcPr>
          <w:p w14:paraId="016C2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4F9CC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5" w:type="dxa"/>
            <w:shd w:val="clear" w:color="auto" w:fill="auto"/>
            <w:vAlign w:val="center"/>
          </w:tcPr>
          <w:p w14:paraId="5471B0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735" w:type="dxa"/>
            <w:shd w:val="clear" w:color="auto" w:fill="auto"/>
            <w:vAlign w:val="center"/>
          </w:tcPr>
          <w:p w14:paraId="2ADC8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95" w:type="dxa"/>
            <w:shd w:val="clear" w:color="auto" w:fill="auto"/>
            <w:vAlign w:val="center"/>
          </w:tcPr>
          <w:p w14:paraId="0AD47672">
            <w:pPr>
              <w:jc w:val="both"/>
              <w:rPr>
                <w:rFonts w:hint="eastAsia" w:ascii="宋体" w:hAnsi="宋体" w:eastAsia="宋体" w:cs="宋体"/>
                <w:i w:val="0"/>
                <w:iCs w:val="0"/>
                <w:color w:val="000000"/>
                <w:sz w:val="20"/>
                <w:szCs w:val="20"/>
                <w:u w:val="none"/>
              </w:rPr>
            </w:pPr>
          </w:p>
        </w:tc>
        <w:tc>
          <w:tcPr>
            <w:tcW w:w="735" w:type="dxa"/>
            <w:shd w:val="clear" w:color="auto" w:fill="auto"/>
            <w:vAlign w:val="center"/>
          </w:tcPr>
          <w:p w14:paraId="47100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2685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695" w:hRule="atLeast"/>
          <w:jc w:val="center"/>
        </w:trPr>
        <w:tc>
          <w:tcPr>
            <w:tcW w:w="525" w:type="dxa"/>
            <w:shd w:val="clear" w:color="auto" w:fill="auto"/>
            <w:noWrap/>
            <w:vAlign w:val="center"/>
          </w:tcPr>
          <w:p w14:paraId="00E30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915" w:type="dxa"/>
            <w:shd w:val="clear" w:color="auto" w:fill="auto"/>
            <w:vAlign w:val="center"/>
          </w:tcPr>
          <w:p w14:paraId="75A97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01805215">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014200000050000</w:t>
            </w:r>
          </w:p>
        </w:tc>
        <w:tc>
          <w:tcPr>
            <w:tcW w:w="1361" w:type="dxa"/>
            <w:shd w:val="clear" w:color="auto" w:fill="auto"/>
            <w:vAlign w:val="center"/>
          </w:tcPr>
          <w:p w14:paraId="017711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仪器针法</w:t>
            </w:r>
          </w:p>
        </w:tc>
        <w:tc>
          <w:tcPr>
            <w:tcW w:w="2747" w:type="dxa"/>
            <w:shd w:val="clear" w:color="auto" w:fill="auto"/>
            <w:vAlign w:val="center"/>
          </w:tcPr>
          <w:p w14:paraId="5C3A113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由医师根据病情，选择适宜的仪器，通过各类仪器产生电、热、冷、磁、振动、光等各类效应替代针具治疗疾病，促进疏通经络，调理脏腑，扶正祛邪。</w:t>
            </w:r>
          </w:p>
        </w:tc>
        <w:tc>
          <w:tcPr>
            <w:tcW w:w="1984" w:type="dxa"/>
            <w:shd w:val="clear" w:color="auto" w:fill="auto"/>
            <w:vAlign w:val="center"/>
          </w:tcPr>
          <w:p w14:paraId="68350E5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所定价格涵盖部位确定、消毒、选针、进针、行针、留针、出针等过程中所需的人力资源和基本物质资源消耗，含设备投入及维护成本。</w:t>
            </w:r>
          </w:p>
        </w:tc>
        <w:tc>
          <w:tcPr>
            <w:tcW w:w="735" w:type="dxa"/>
            <w:shd w:val="clear" w:color="auto" w:fill="auto"/>
            <w:vAlign w:val="center"/>
          </w:tcPr>
          <w:p w14:paraId="731F7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0E726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35" w:type="dxa"/>
            <w:shd w:val="clear" w:color="auto" w:fill="auto"/>
            <w:vAlign w:val="center"/>
          </w:tcPr>
          <w:p w14:paraId="259FD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735" w:type="dxa"/>
            <w:shd w:val="clear" w:color="auto" w:fill="auto"/>
            <w:vAlign w:val="center"/>
          </w:tcPr>
          <w:p w14:paraId="6FED5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395" w:type="dxa"/>
            <w:shd w:val="clear" w:color="auto" w:fill="auto"/>
            <w:vAlign w:val="center"/>
          </w:tcPr>
          <w:p w14:paraId="3677E7E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735" w:type="dxa"/>
            <w:shd w:val="clear" w:color="auto" w:fill="auto"/>
            <w:vAlign w:val="center"/>
          </w:tcPr>
          <w:p w14:paraId="102EE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FC8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 w:type="dxa"/>
          <w:trHeight w:val="1695" w:hRule="atLeast"/>
          <w:jc w:val="center"/>
        </w:trPr>
        <w:tc>
          <w:tcPr>
            <w:tcW w:w="525" w:type="dxa"/>
            <w:shd w:val="clear" w:color="auto" w:fill="auto"/>
            <w:noWrap/>
            <w:vAlign w:val="center"/>
          </w:tcPr>
          <w:p w14:paraId="55833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915" w:type="dxa"/>
            <w:shd w:val="clear" w:color="auto" w:fill="auto"/>
            <w:vAlign w:val="center"/>
          </w:tcPr>
          <w:p w14:paraId="21BA1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443B4320">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014200000050001</w:t>
            </w:r>
          </w:p>
        </w:tc>
        <w:tc>
          <w:tcPr>
            <w:tcW w:w="1361" w:type="dxa"/>
            <w:shd w:val="clear" w:color="auto" w:fill="auto"/>
            <w:vAlign w:val="center"/>
          </w:tcPr>
          <w:p w14:paraId="2FBD87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仪器针法-儿童（加收）</w:t>
            </w:r>
          </w:p>
        </w:tc>
        <w:tc>
          <w:tcPr>
            <w:tcW w:w="2747" w:type="dxa"/>
            <w:shd w:val="clear" w:color="auto" w:fill="auto"/>
            <w:vAlign w:val="center"/>
          </w:tcPr>
          <w:p w14:paraId="37804C6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由医师根据儿童病情，选择适宜的仪器，通过各类仪器产生电、热、冷、磁、振动、光等各类效应替代针具治疗疾病，促进疏通经络，调理脏腑，扶正祛邪。</w:t>
            </w:r>
          </w:p>
        </w:tc>
        <w:tc>
          <w:tcPr>
            <w:tcW w:w="1984" w:type="dxa"/>
            <w:shd w:val="clear" w:color="auto" w:fill="auto"/>
            <w:vAlign w:val="center"/>
          </w:tcPr>
          <w:p w14:paraId="7577EE4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1D09E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56F53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35" w:type="dxa"/>
            <w:shd w:val="clear" w:color="auto" w:fill="auto"/>
            <w:vAlign w:val="center"/>
          </w:tcPr>
          <w:p w14:paraId="77E24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735" w:type="dxa"/>
            <w:shd w:val="clear" w:color="auto" w:fill="auto"/>
            <w:vAlign w:val="center"/>
          </w:tcPr>
          <w:p w14:paraId="254F09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395" w:type="dxa"/>
            <w:shd w:val="clear" w:color="auto" w:fill="auto"/>
            <w:vAlign w:val="center"/>
          </w:tcPr>
          <w:p w14:paraId="505DFFD3">
            <w:pPr>
              <w:jc w:val="both"/>
              <w:rPr>
                <w:rFonts w:hint="eastAsia" w:ascii="宋体" w:hAnsi="宋体" w:eastAsia="宋体" w:cs="宋体"/>
                <w:i w:val="0"/>
                <w:iCs w:val="0"/>
                <w:color w:val="000000"/>
                <w:sz w:val="20"/>
                <w:szCs w:val="20"/>
                <w:u w:val="none"/>
              </w:rPr>
            </w:pPr>
          </w:p>
        </w:tc>
        <w:tc>
          <w:tcPr>
            <w:tcW w:w="735" w:type="dxa"/>
            <w:shd w:val="clear" w:color="auto" w:fill="auto"/>
            <w:vAlign w:val="center"/>
          </w:tcPr>
          <w:p w14:paraId="2FB87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5042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455" w:hRule="atLeast"/>
          <w:jc w:val="center"/>
        </w:trPr>
        <w:tc>
          <w:tcPr>
            <w:tcW w:w="525" w:type="dxa"/>
            <w:shd w:val="clear" w:color="auto" w:fill="auto"/>
            <w:noWrap/>
            <w:vAlign w:val="center"/>
          </w:tcPr>
          <w:p w14:paraId="54738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915" w:type="dxa"/>
            <w:shd w:val="clear" w:color="auto" w:fill="auto"/>
            <w:vAlign w:val="center"/>
          </w:tcPr>
          <w:p w14:paraId="40BE81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74B31CA2">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014200000060000</w:t>
            </w:r>
          </w:p>
        </w:tc>
        <w:tc>
          <w:tcPr>
            <w:tcW w:w="1361" w:type="dxa"/>
            <w:shd w:val="clear" w:color="auto" w:fill="auto"/>
            <w:vAlign w:val="center"/>
          </w:tcPr>
          <w:p w14:paraId="71700D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体表针法</w:t>
            </w:r>
          </w:p>
        </w:tc>
        <w:tc>
          <w:tcPr>
            <w:tcW w:w="2747" w:type="dxa"/>
            <w:shd w:val="clear" w:color="auto" w:fill="auto"/>
            <w:vAlign w:val="center"/>
          </w:tcPr>
          <w:p w14:paraId="096B9E7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由主治及以下医师根据病情选穴，通过非锐性针具施于体表，配合手法治疗各系统疾病，促进疏通经络，调理脏腑，扶正祛邪。</w:t>
            </w:r>
          </w:p>
        </w:tc>
        <w:tc>
          <w:tcPr>
            <w:tcW w:w="1984" w:type="dxa"/>
            <w:shd w:val="clear" w:color="auto" w:fill="auto"/>
            <w:vAlign w:val="center"/>
          </w:tcPr>
          <w:p w14:paraId="40D64DD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所定价格涵盖部位确定、选针、体表施治等过程中所需的人力资源和基本物质资源消耗，含设备投入及维护成本。</w:t>
            </w:r>
          </w:p>
        </w:tc>
        <w:tc>
          <w:tcPr>
            <w:tcW w:w="735" w:type="dxa"/>
            <w:shd w:val="clear" w:color="auto" w:fill="auto"/>
            <w:vAlign w:val="center"/>
          </w:tcPr>
          <w:p w14:paraId="07569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3CBB6A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735" w:type="dxa"/>
            <w:shd w:val="clear" w:color="auto" w:fill="auto"/>
            <w:vAlign w:val="center"/>
          </w:tcPr>
          <w:p w14:paraId="30273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w:t>
            </w:r>
          </w:p>
        </w:tc>
        <w:tc>
          <w:tcPr>
            <w:tcW w:w="735" w:type="dxa"/>
            <w:shd w:val="clear" w:color="auto" w:fill="auto"/>
            <w:vAlign w:val="center"/>
          </w:tcPr>
          <w:p w14:paraId="0FF25A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95" w:type="dxa"/>
            <w:shd w:val="clear" w:color="auto" w:fill="auto"/>
            <w:vAlign w:val="center"/>
          </w:tcPr>
          <w:p w14:paraId="640C167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6周岁以下儿童加收30%；主任加收15%；副主任加收10%。</w:t>
            </w:r>
          </w:p>
        </w:tc>
        <w:tc>
          <w:tcPr>
            <w:tcW w:w="735" w:type="dxa"/>
            <w:shd w:val="clear" w:color="auto" w:fill="auto"/>
            <w:vAlign w:val="center"/>
          </w:tcPr>
          <w:p w14:paraId="02952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22B2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455" w:hRule="atLeast"/>
          <w:jc w:val="center"/>
        </w:trPr>
        <w:tc>
          <w:tcPr>
            <w:tcW w:w="525" w:type="dxa"/>
            <w:shd w:val="clear" w:color="auto" w:fill="auto"/>
            <w:noWrap/>
            <w:vAlign w:val="center"/>
          </w:tcPr>
          <w:p w14:paraId="4661F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15" w:type="dxa"/>
            <w:shd w:val="clear" w:color="auto" w:fill="auto"/>
            <w:vAlign w:val="center"/>
          </w:tcPr>
          <w:p w14:paraId="278A9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6E25D23B">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014200000060001</w:t>
            </w:r>
          </w:p>
        </w:tc>
        <w:tc>
          <w:tcPr>
            <w:tcW w:w="1361" w:type="dxa"/>
            <w:shd w:val="clear" w:color="auto" w:fill="auto"/>
            <w:vAlign w:val="center"/>
          </w:tcPr>
          <w:p w14:paraId="29B65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体表针法-儿童（加收）</w:t>
            </w:r>
          </w:p>
        </w:tc>
        <w:tc>
          <w:tcPr>
            <w:tcW w:w="2747" w:type="dxa"/>
            <w:shd w:val="clear" w:color="auto" w:fill="auto"/>
            <w:vAlign w:val="center"/>
          </w:tcPr>
          <w:p w14:paraId="12F8F94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由主治及以下医师根据儿童病情选穴，通过非锐性针具施于体表，配合手法治疗各系统疾病，促进疏通经络，调理脏腑，扶正祛邪。</w:t>
            </w:r>
          </w:p>
        </w:tc>
        <w:tc>
          <w:tcPr>
            <w:tcW w:w="1984" w:type="dxa"/>
            <w:shd w:val="clear" w:color="auto" w:fill="auto"/>
            <w:vAlign w:val="center"/>
          </w:tcPr>
          <w:p w14:paraId="0BCF7FD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55FE7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733D4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735" w:type="dxa"/>
            <w:shd w:val="clear" w:color="auto" w:fill="auto"/>
            <w:vAlign w:val="center"/>
          </w:tcPr>
          <w:p w14:paraId="56611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735" w:type="dxa"/>
            <w:shd w:val="clear" w:color="auto" w:fill="auto"/>
            <w:vAlign w:val="center"/>
          </w:tcPr>
          <w:p w14:paraId="5AC5E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395" w:type="dxa"/>
            <w:shd w:val="clear" w:color="auto" w:fill="auto"/>
            <w:vAlign w:val="center"/>
          </w:tcPr>
          <w:p w14:paraId="5DEE6990">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4C414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51EE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7AE50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915" w:type="dxa"/>
            <w:shd w:val="clear" w:color="auto" w:fill="auto"/>
            <w:vAlign w:val="center"/>
          </w:tcPr>
          <w:p w14:paraId="1E447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2EFF75A8">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014200000060011</w:t>
            </w:r>
          </w:p>
        </w:tc>
        <w:tc>
          <w:tcPr>
            <w:tcW w:w="1361" w:type="dxa"/>
            <w:shd w:val="clear" w:color="auto" w:fill="auto"/>
            <w:vAlign w:val="center"/>
          </w:tcPr>
          <w:p w14:paraId="7D24E7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体表针法-主任医师（加收）</w:t>
            </w:r>
          </w:p>
        </w:tc>
        <w:tc>
          <w:tcPr>
            <w:tcW w:w="2747" w:type="dxa"/>
            <w:shd w:val="clear" w:color="auto" w:fill="auto"/>
            <w:vAlign w:val="center"/>
          </w:tcPr>
          <w:p w14:paraId="5697A0C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由主任医师根据病情选穴，通过非锐性针具施于体表，配合手法治疗各系统疾病，促进疏通经络，调理脏腑，扶正祛邪。</w:t>
            </w:r>
          </w:p>
        </w:tc>
        <w:tc>
          <w:tcPr>
            <w:tcW w:w="1984" w:type="dxa"/>
            <w:shd w:val="clear" w:color="auto" w:fill="auto"/>
            <w:vAlign w:val="center"/>
          </w:tcPr>
          <w:p w14:paraId="0F8E254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6D4D03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782D2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735" w:type="dxa"/>
            <w:shd w:val="clear" w:color="auto" w:fill="auto"/>
            <w:vAlign w:val="center"/>
          </w:tcPr>
          <w:p w14:paraId="5B6830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735" w:type="dxa"/>
            <w:shd w:val="clear" w:color="auto" w:fill="auto"/>
            <w:vAlign w:val="center"/>
          </w:tcPr>
          <w:p w14:paraId="0936A2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395" w:type="dxa"/>
            <w:shd w:val="clear" w:color="auto" w:fill="auto"/>
            <w:vAlign w:val="center"/>
          </w:tcPr>
          <w:p w14:paraId="147FB6D2">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3FBFD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30C7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5581E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915" w:type="dxa"/>
            <w:shd w:val="clear" w:color="auto" w:fill="auto"/>
            <w:vAlign w:val="center"/>
          </w:tcPr>
          <w:p w14:paraId="57220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4687CA22">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014200000060012</w:t>
            </w:r>
          </w:p>
        </w:tc>
        <w:tc>
          <w:tcPr>
            <w:tcW w:w="1361" w:type="dxa"/>
            <w:shd w:val="clear" w:color="auto" w:fill="auto"/>
            <w:vAlign w:val="center"/>
          </w:tcPr>
          <w:p w14:paraId="22449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体表针法-副主任医师（加收）</w:t>
            </w:r>
          </w:p>
        </w:tc>
        <w:tc>
          <w:tcPr>
            <w:tcW w:w="2747" w:type="dxa"/>
            <w:shd w:val="clear" w:color="auto" w:fill="auto"/>
            <w:vAlign w:val="center"/>
          </w:tcPr>
          <w:p w14:paraId="34DFF02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由副主任医师根据病情选穴，通过非锐性针具施于体表，配合手法治疗各系统疾病，促进疏通经络，调理脏腑，扶正祛邪。</w:t>
            </w:r>
          </w:p>
        </w:tc>
        <w:tc>
          <w:tcPr>
            <w:tcW w:w="1984" w:type="dxa"/>
            <w:shd w:val="clear" w:color="auto" w:fill="auto"/>
            <w:vAlign w:val="center"/>
          </w:tcPr>
          <w:p w14:paraId="12D3EA5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7C8914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6A2B6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735" w:type="dxa"/>
            <w:shd w:val="clear" w:color="auto" w:fill="auto"/>
            <w:vAlign w:val="center"/>
          </w:tcPr>
          <w:p w14:paraId="552A9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5" w:type="dxa"/>
            <w:shd w:val="clear" w:color="auto" w:fill="auto"/>
            <w:vAlign w:val="center"/>
          </w:tcPr>
          <w:p w14:paraId="1BA1E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95" w:type="dxa"/>
            <w:shd w:val="clear" w:color="auto" w:fill="auto"/>
            <w:vAlign w:val="center"/>
          </w:tcPr>
          <w:p w14:paraId="6E42EBDB">
            <w:pPr>
              <w:jc w:val="center"/>
              <w:rPr>
                <w:rFonts w:hint="eastAsia" w:ascii="宋体" w:hAnsi="宋体" w:eastAsia="宋体" w:cs="宋体"/>
                <w:i w:val="0"/>
                <w:iCs w:val="0"/>
                <w:color w:val="000000"/>
                <w:sz w:val="20"/>
                <w:szCs w:val="20"/>
                <w:u w:val="none"/>
              </w:rPr>
            </w:pPr>
          </w:p>
        </w:tc>
        <w:tc>
          <w:tcPr>
            <w:tcW w:w="735" w:type="dxa"/>
            <w:shd w:val="clear" w:color="auto" w:fill="auto"/>
            <w:vAlign w:val="center"/>
          </w:tcPr>
          <w:p w14:paraId="2E0A0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1853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435D2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915" w:type="dxa"/>
            <w:shd w:val="clear" w:color="auto" w:fill="auto"/>
            <w:vAlign w:val="center"/>
          </w:tcPr>
          <w:p w14:paraId="3C738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1577C0BE">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014200000070000</w:t>
            </w:r>
          </w:p>
        </w:tc>
        <w:tc>
          <w:tcPr>
            <w:tcW w:w="1361" w:type="dxa"/>
            <w:shd w:val="clear" w:color="auto" w:fill="auto"/>
            <w:vAlign w:val="center"/>
          </w:tcPr>
          <w:p w14:paraId="407314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活体生物针法</w:t>
            </w:r>
          </w:p>
        </w:tc>
        <w:tc>
          <w:tcPr>
            <w:tcW w:w="2747" w:type="dxa"/>
            <w:shd w:val="clear" w:color="auto" w:fill="auto"/>
            <w:vAlign w:val="center"/>
          </w:tcPr>
          <w:p w14:paraId="44B9CB8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由医师根据病情选穴，通过各类活体生物，配合手法，作用于人体，促进疏通经络，调理脏腑，扶正祛邪。</w:t>
            </w:r>
          </w:p>
        </w:tc>
        <w:tc>
          <w:tcPr>
            <w:tcW w:w="1984" w:type="dxa"/>
            <w:shd w:val="clear" w:color="auto" w:fill="auto"/>
            <w:vAlign w:val="center"/>
          </w:tcPr>
          <w:p w14:paraId="019712B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所定价格涵盖部位确定、消毒、活体生物施治等过程中所需的人力资源和基本物质资源消耗。</w:t>
            </w:r>
          </w:p>
        </w:tc>
        <w:tc>
          <w:tcPr>
            <w:tcW w:w="735" w:type="dxa"/>
            <w:shd w:val="clear" w:color="auto" w:fill="auto"/>
            <w:vAlign w:val="center"/>
          </w:tcPr>
          <w:p w14:paraId="2E478A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69A2FB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735" w:type="dxa"/>
            <w:shd w:val="clear" w:color="auto" w:fill="auto"/>
            <w:vAlign w:val="center"/>
          </w:tcPr>
          <w:p w14:paraId="4BF67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735" w:type="dxa"/>
            <w:shd w:val="clear" w:color="auto" w:fill="auto"/>
            <w:vAlign w:val="center"/>
          </w:tcPr>
          <w:p w14:paraId="7DBA6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395" w:type="dxa"/>
            <w:shd w:val="clear" w:color="auto" w:fill="auto"/>
            <w:vAlign w:val="center"/>
          </w:tcPr>
          <w:p w14:paraId="0EE8FD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735" w:type="dxa"/>
            <w:shd w:val="clear" w:color="auto" w:fill="auto"/>
            <w:vAlign w:val="center"/>
          </w:tcPr>
          <w:p w14:paraId="58F1F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73F0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1215" w:hRule="atLeast"/>
          <w:jc w:val="center"/>
        </w:trPr>
        <w:tc>
          <w:tcPr>
            <w:tcW w:w="525" w:type="dxa"/>
            <w:shd w:val="clear" w:color="auto" w:fill="auto"/>
            <w:noWrap/>
            <w:vAlign w:val="center"/>
          </w:tcPr>
          <w:p w14:paraId="131FA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15" w:type="dxa"/>
            <w:shd w:val="clear" w:color="auto" w:fill="auto"/>
            <w:vAlign w:val="center"/>
          </w:tcPr>
          <w:p w14:paraId="1DA9D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53A75CC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014200000070001</w:t>
            </w:r>
          </w:p>
        </w:tc>
        <w:tc>
          <w:tcPr>
            <w:tcW w:w="1361" w:type="dxa"/>
            <w:shd w:val="clear" w:color="auto" w:fill="auto"/>
            <w:vAlign w:val="center"/>
          </w:tcPr>
          <w:p w14:paraId="7D129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活体生物针法-儿童（加收）</w:t>
            </w:r>
          </w:p>
        </w:tc>
        <w:tc>
          <w:tcPr>
            <w:tcW w:w="2747" w:type="dxa"/>
            <w:shd w:val="clear" w:color="auto" w:fill="auto"/>
            <w:vAlign w:val="center"/>
          </w:tcPr>
          <w:p w14:paraId="73ABDED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由医师根据儿童病情选穴，通过各类活体生物，配合手法，作用于人体，促进疏通经络，调理脏腑，扶正祛邪。</w:t>
            </w:r>
          </w:p>
        </w:tc>
        <w:tc>
          <w:tcPr>
            <w:tcW w:w="1984" w:type="dxa"/>
            <w:shd w:val="clear" w:color="auto" w:fill="auto"/>
            <w:vAlign w:val="center"/>
          </w:tcPr>
          <w:p w14:paraId="0B77A77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0E370C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次·日</w:t>
            </w:r>
          </w:p>
        </w:tc>
        <w:tc>
          <w:tcPr>
            <w:tcW w:w="735" w:type="dxa"/>
            <w:shd w:val="clear" w:color="auto" w:fill="auto"/>
            <w:vAlign w:val="center"/>
          </w:tcPr>
          <w:p w14:paraId="7D944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735" w:type="dxa"/>
            <w:shd w:val="clear" w:color="auto" w:fill="auto"/>
            <w:vAlign w:val="center"/>
          </w:tcPr>
          <w:p w14:paraId="219AB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735" w:type="dxa"/>
            <w:shd w:val="clear" w:color="auto" w:fill="auto"/>
            <w:vAlign w:val="center"/>
          </w:tcPr>
          <w:p w14:paraId="39A028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395" w:type="dxa"/>
            <w:shd w:val="clear" w:color="auto" w:fill="auto"/>
            <w:vAlign w:val="center"/>
          </w:tcPr>
          <w:p w14:paraId="40CFB19A">
            <w:pPr>
              <w:jc w:val="both"/>
              <w:rPr>
                <w:rFonts w:hint="eastAsia" w:ascii="宋体" w:hAnsi="宋体" w:eastAsia="宋体" w:cs="宋体"/>
                <w:i w:val="0"/>
                <w:iCs w:val="0"/>
                <w:color w:val="000000"/>
                <w:sz w:val="20"/>
                <w:szCs w:val="20"/>
                <w:u w:val="none"/>
              </w:rPr>
            </w:pPr>
          </w:p>
        </w:tc>
        <w:tc>
          <w:tcPr>
            <w:tcW w:w="735" w:type="dxa"/>
            <w:shd w:val="clear" w:color="auto" w:fill="auto"/>
            <w:vAlign w:val="center"/>
          </w:tcPr>
          <w:p w14:paraId="39938A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74E9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975" w:hRule="atLeast"/>
          <w:jc w:val="center"/>
        </w:trPr>
        <w:tc>
          <w:tcPr>
            <w:tcW w:w="525" w:type="dxa"/>
            <w:shd w:val="clear" w:color="auto" w:fill="auto"/>
            <w:noWrap/>
            <w:vAlign w:val="center"/>
          </w:tcPr>
          <w:p w14:paraId="53425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915" w:type="dxa"/>
            <w:shd w:val="clear" w:color="auto" w:fill="auto"/>
            <w:vAlign w:val="center"/>
          </w:tcPr>
          <w:p w14:paraId="79F85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459BF235">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014200000080000</w:t>
            </w:r>
          </w:p>
        </w:tc>
        <w:tc>
          <w:tcPr>
            <w:tcW w:w="1361" w:type="dxa"/>
            <w:shd w:val="clear" w:color="auto" w:fill="auto"/>
            <w:vAlign w:val="center"/>
          </w:tcPr>
          <w:p w14:paraId="6EBCE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穴位埋入</w:t>
            </w:r>
          </w:p>
        </w:tc>
        <w:tc>
          <w:tcPr>
            <w:tcW w:w="2747" w:type="dxa"/>
            <w:shd w:val="clear" w:color="auto" w:fill="auto"/>
            <w:vAlign w:val="center"/>
          </w:tcPr>
          <w:p w14:paraId="1E9E0C2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由医师根据病情选穴，将相关医用耗材埋入体内，促进疏通经络，气血调和，补虚泻实。</w:t>
            </w:r>
          </w:p>
        </w:tc>
        <w:tc>
          <w:tcPr>
            <w:tcW w:w="1984" w:type="dxa"/>
            <w:shd w:val="clear" w:color="auto" w:fill="auto"/>
            <w:vAlign w:val="center"/>
          </w:tcPr>
          <w:p w14:paraId="069FD2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所定价格涵盖穴位确定、消毒、埋入，处理创口用物所需的人力资源和基本物质资源消耗。</w:t>
            </w:r>
          </w:p>
        </w:tc>
        <w:tc>
          <w:tcPr>
            <w:tcW w:w="735" w:type="dxa"/>
            <w:shd w:val="clear" w:color="auto" w:fill="auto"/>
            <w:vAlign w:val="center"/>
          </w:tcPr>
          <w:p w14:paraId="3B4EF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010E7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735" w:type="dxa"/>
            <w:shd w:val="clear" w:color="auto" w:fill="auto"/>
            <w:vAlign w:val="center"/>
          </w:tcPr>
          <w:p w14:paraId="182C2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735" w:type="dxa"/>
            <w:shd w:val="clear" w:color="auto" w:fill="auto"/>
            <w:vAlign w:val="center"/>
          </w:tcPr>
          <w:p w14:paraId="48AB4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395" w:type="dxa"/>
            <w:shd w:val="clear" w:color="auto" w:fill="auto"/>
            <w:vAlign w:val="center"/>
          </w:tcPr>
          <w:p w14:paraId="69B6D65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超过5个穴位按5个穴位收费；6周岁以下儿童加收30%。</w:t>
            </w:r>
          </w:p>
        </w:tc>
        <w:tc>
          <w:tcPr>
            <w:tcW w:w="735" w:type="dxa"/>
            <w:shd w:val="clear" w:color="auto" w:fill="auto"/>
            <w:vAlign w:val="center"/>
          </w:tcPr>
          <w:p w14:paraId="27085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29DF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975" w:hRule="atLeast"/>
          <w:jc w:val="center"/>
        </w:trPr>
        <w:tc>
          <w:tcPr>
            <w:tcW w:w="525" w:type="dxa"/>
            <w:shd w:val="clear" w:color="auto" w:fill="auto"/>
            <w:noWrap/>
            <w:vAlign w:val="center"/>
          </w:tcPr>
          <w:p w14:paraId="66BA8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915" w:type="dxa"/>
            <w:shd w:val="clear" w:color="auto" w:fill="auto"/>
            <w:vAlign w:val="center"/>
          </w:tcPr>
          <w:p w14:paraId="0BA35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7470624A">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014200000080001</w:t>
            </w:r>
          </w:p>
        </w:tc>
        <w:tc>
          <w:tcPr>
            <w:tcW w:w="1361" w:type="dxa"/>
            <w:shd w:val="clear" w:color="auto" w:fill="auto"/>
            <w:vAlign w:val="center"/>
          </w:tcPr>
          <w:p w14:paraId="39B35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穴位埋入-儿童（加收）</w:t>
            </w:r>
          </w:p>
        </w:tc>
        <w:tc>
          <w:tcPr>
            <w:tcW w:w="2747" w:type="dxa"/>
            <w:shd w:val="clear" w:color="auto" w:fill="auto"/>
            <w:vAlign w:val="center"/>
          </w:tcPr>
          <w:p w14:paraId="7B4F75E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由医师根据儿童病情选穴，将相关医用耗材埋入体内，促进疏通经络，气血调和，补虚泻实。</w:t>
            </w:r>
          </w:p>
        </w:tc>
        <w:tc>
          <w:tcPr>
            <w:tcW w:w="1984" w:type="dxa"/>
            <w:shd w:val="clear" w:color="auto" w:fill="auto"/>
            <w:vAlign w:val="center"/>
          </w:tcPr>
          <w:p w14:paraId="7864E1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18E602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15DBD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735" w:type="dxa"/>
            <w:shd w:val="clear" w:color="auto" w:fill="auto"/>
            <w:vAlign w:val="center"/>
          </w:tcPr>
          <w:p w14:paraId="2E50D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735" w:type="dxa"/>
            <w:shd w:val="clear" w:color="auto" w:fill="auto"/>
            <w:vAlign w:val="center"/>
          </w:tcPr>
          <w:p w14:paraId="3D799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395" w:type="dxa"/>
            <w:shd w:val="clear" w:color="auto" w:fill="auto"/>
            <w:vAlign w:val="center"/>
          </w:tcPr>
          <w:p w14:paraId="69DB7565">
            <w:pPr>
              <w:jc w:val="both"/>
              <w:rPr>
                <w:rFonts w:hint="eastAsia" w:ascii="宋体" w:hAnsi="宋体" w:eastAsia="宋体" w:cs="宋体"/>
                <w:i w:val="0"/>
                <w:iCs w:val="0"/>
                <w:color w:val="000000"/>
                <w:sz w:val="20"/>
                <w:szCs w:val="20"/>
                <w:u w:val="none"/>
              </w:rPr>
            </w:pPr>
          </w:p>
        </w:tc>
        <w:tc>
          <w:tcPr>
            <w:tcW w:w="735" w:type="dxa"/>
            <w:shd w:val="clear" w:color="auto" w:fill="auto"/>
            <w:vAlign w:val="center"/>
          </w:tcPr>
          <w:p w14:paraId="74307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A5F0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525" w:type="dxa"/>
            <w:shd w:val="clear" w:color="auto" w:fill="auto"/>
            <w:noWrap/>
            <w:vAlign w:val="center"/>
          </w:tcPr>
          <w:p w14:paraId="3251D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915" w:type="dxa"/>
            <w:shd w:val="clear" w:color="auto" w:fill="auto"/>
            <w:vAlign w:val="center"/>
          </w:tcPr>
          <w:p w14:paraId="641D2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60ED9F85">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014200000090000</w:t>
            </w:r>
          </w:p>
        </w:tc>
        <w:tc>
          <w:tcPr>
            <w:tcW w:w="1361" w:type="dxa"/>
            <w:shd w:val="clear" w:color="auto" w:fill="auto"/>
            <w:vAlign w:val="center"/>
          </w:tcPr>
          <w:p w14:paraId="59965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穴位注射</w:t>
            </w:r>
          </w:p>
        </w:tc>
        <w:tc>
          <w:tcPr>
            <w:tcW w:w="2747" w:type="dxa"/>
            <w:shd w:val="clear" w:color="auto" w:fill="auto"/>
            <w:vAlign w:val="center"/>
          </w:tcPr>
          <w:p w14:paraId="0A50563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由医师根据病情选穴，配合手法，进行穴位注射，促进疏通经络，调理脏腑，扶正祛邪。</w:t>
            </w:r>
          </w:p>
        </w:tc>
        <w:tc>
          <w:tcPr>
            <w:tcW w:w="1984" w:type="dxa"/>
            <w:shd w:val="clear" w:color="auto" w:fill="auto"/>
            <w:vAlign w:val="center"/>
          </w:tcPr>
          <w:p w14:paraId="230F4F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所定价格涵盖穴位确定、消毒、注射、取针、局部处理等过程中所需的人力资源和基本物质资源消耗。</w:t>
            </w:r>
          </w:p>
        </w:tc>
        <w:tc>
          <w:tcPr>
            <w:tcW w:w="735" w:type="dxa"/>
            <w:shd w:val="clear" w:color="auto" w:fill="auto"/>
            <w:vAlign w:val="center"/>
          </w:tcPr>
          <w:p w14:paraId="1DB5F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52FA55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735" w:type="dxa"/>
            <w:shd w:val="clear" w:color="auto" w:fill="auto"/>
            <w:vAlign w:val="center"/>
          </w:tcPr>
          <w:p w14:paraId="38922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735" w:type="dxa"/>
            <w:shd w:val="clear" w:color="auto" w:fill="auto"/>
            <w:vAlign w:val="center"/>
          </w:tcPr>
          <w:p w14:paraId="4218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395" w:type="dxa"/>
            <w:shd w:val="clear" w:color="auto" w:fill="auto"/>
            <w:vAlign w:val="center"/>
          </w:tcPr>
          <w:p w14:paraId="4982A48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超过2个穴位按2个穴位计费；6周岁以下儿童加收30%。</w:t>
            </w:r>
          </w:p>
        </w:tc>
        <w:tc>
          <w:tcPr>
            <w:tcW w:w="737" w:type="dxa"/>
            <w:gridSpan w:val="2"/>
            <w:shd w:val="clear" w:color="auto" w:fill="auto"/>
            <w:vAlign w:val="center"/>
          </w:tcPr>
          <w:p w14:paraId="61016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BBD7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525" w:type="dxa"/>
            <w:shd w:val="clear" w:color="auto" w:fill="auto"/>
            <w:noWrap/>
            <w:vAlign w:val="center"/>
          </w:tcPr>
          <w:p w14:paraId="0E049E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915" w:type="dxa"/>
            <w:shd w:val="clear" w:color="auto" w:fill="auto"/>
            <w:vAlign w:val="center"/>
          </w:tcPr>
          <w:p w14:paraId="65F60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6899A133">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014200000090001</w:t>
            </w:r>
          </w:p>
        </w:tc>
        <w:tc>
          <w:tcPr>
            <w:tcW w:w="1361" w:type="dxa"/>
            <w:shd w:val="clear" w:color="auto" w:fill="auto"/>
            <w:vAlign w:val="center"/>
          </w:tcPr>
          <w:p w14:paraId="2A33A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穴位注射-儿童（加收）</w:t>
            </w:r>
          </w:p>
        </w:tc>
        <w:tc>
          <w:tcPr>
            <w:tcW w:w="2747" w:type="dxa"/>
            <w:shd w:val="clear" w:color="auto" w:fill="auto"/>
            <w:vAlign w:val="center"/>
          </w:tcPr>
          <w:p w14:paraId="59CEC40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由医师根据儿童病情选穴，配合手法，进行穴位注射，促进疏通经络，调理脏腑，扶正祛邪。</w:t>
            </w:r>
          </w:p>
        </w:tc>
        <w:tc>
          <w:tcPr>
            <w:tcW w:w="1984" w:type="dxa"/>
            <w:shd w:val="clear" w:color="auto" w:fill="auto"/>
            <w:vAlign w:val="center"/>
          </w:tcPr>
          <w:p w14:paraId="3F1FDAE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11780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687B0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735" w:type="dxa"/>
            <w:shd w:val="clear" w:color="auto" w:fill="auto"/>
            <w:vAlign w:val="center"/>
          </w:tcPr>
          <w:p w14:paraId="68CE2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735" w:type="dxa"/>
            <w:shd w:val="clear" w:color="auto" w:fill="auto"/>
            <w:vAlign w:val="center"/>
          </w:tcPr>
          <w:p w14:paraId="3580B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395" w:type="dxa"/>
            <w:shd w:val="clear" w:color="auto" w:fill="auto"/>
            <w:vAlign w:val="center"/>
          </w:tcPr>
          <w:p w14:paraId="03DB135B">
            <w:pPr>
              <w:jc w:val="center"/>
              <w:rPr>
                <w:rFonts w:hint="eastAsia" w:ascii="宋体" w:hAnsi="宋体" w:eastAsia="宋体" w:cs="宋体"/>
                <w:i w:val="0"/>
                <w:iCs w:val="0"/>
                <w:color w:val="000000"/>
                <w:sz w:val="20"/>
                <w:szCs w:val="20"/>
                <w:u w:val="none"/>
              </w:rPr>
            </w:pPr>
          </w:p>
        </w:tc>
        <w:tc>
          <w:tcPr>
            <w:tcW w:w="737" w:type="dxa"/>
            <w:gridSpan w:val="2"/>
            <w:shd w:val="clear" w:color="auto" w:fill="auto"/>
            <w:vAlign w:val="center"/>
          </w:tcPr>
          <w:p w14:paraId="728B8F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727D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525" w:type="dxa"/>
            <w:shd w:val="clear" w:color="auto" w:fill="auto"/>
            <w:noWrap/>
            <w:vAlign w:val="center"/>
          </w:tcPr>
          <w:p w14:paraId="79199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915" w:type="dxa"/>
            <w:shd w:val="clear" w:color="auto" w:fill="auto"/>
            <w:vAlign w:val="center"/>
          </w:tcPr>
          <w:p w14:paraId="3A3350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22847E87">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014200000090100</w:t>
            </w:r>
          </w:p>
        </w:tc>
        <w:tc>
          <w:tcPr>
            <w:tcW w:w="1361" w:type="dxa"/>
            <w:shd w:val="clear" w:color="auto" w:fill="auto"/>
            <w:vAlign w:val="center"/>
          </w:tcPr>
          <w:p w14:paraId="378CF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穴位注射-儿中医自血疗法（扩展）</w:t>
            </w:r>
          </w:p>
        </w:tc>
        <w:tc>
          <w:tcPr>
            <w:tcW w:w="2747" w:type="dxa"/>
            <w:shd w:val="clear" w:color="auto" w:fill="auto"/>
            <w:vAlign w:val="center"/>
          </w:tcPr>
          <w:p w14:paraId="7C92931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由医师根据病情选穴，配合手法，中医自血疗法，促进疏通经络，调理脏腑，扶正祛邪。</w:t>
            </w:r>
          </w:p>
        </w:tc>
        <w:tc>
          <w:tcPr>
            <w:tcW w:w="1984" w:type="dxa"/>
            <w:shd w:val="clear" w:color="auto" w:fill="auto"/>
            <w:vAlign w:val="center"/>
          </w:tcPr>
          <w:p w14:paraId="06F6653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所定价格涵盖穴位确定、消毒、注射、取针、局部处理等过程中所需的人力资源和基本物质资源消耗。</w:t>
            </w:r>
          </w:p>
        </w:tc>
        <w:tc>
          <w:tcPr>
            <w:tcW w:w="735" w:type="dxa"/>
            <w:shd w:val="clear" w:color="auto" w:fill="auto"/>
            <w:vAlign w:val="center"/>
          </w:tcPr>
          <w:p w14:paraId="345B5A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穴位</w:t>
            </w:r>
          </w:p>
        </w:tc>
        <w:tc>
          <w:tcPr>
            <w:tcW w:w="735" w:type="dxa"/>
            <w:shd w:val="clear" w:color="auto" w:fill="auto"/>
            <w:vAlign w:val="center"/>
          </w:tcPr>
          <w:p w14:paraId="0663D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735" w:type="dxa"/>
            <w:shd w:val="clear" w:color="auto" w:fill="auto"/>
            <w:vAlign w:val="center"/>
          </w:tcPr>
          <w:p w14:paraId="167313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735" w:type="dxa"/>
            <w:shd w:val="clear" w:color="auto" w:fill="auto"/>
            <w:vAlign w:val="center"/>
          </w:tcPr>
          <w:p w14:paraId="090897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395" w:type="dxa"/>
            <w:shd w:val="clear" w:color="auto" w:fill="auto"/>
            <w:vAlign w:val="center"/>
          </w:tcPr>
          <w:p w14:paraId="6A43A6D3">
            <w:pPr>
              <w:jc w:val="center"/>
              <w:rPr>
                <w:rFonts w:hint="eastAsia" w:ascii="宋体" w:hAnsi="宋体" w:eastAsia="宋体" w:cs="宋体"/>
                <w:i w:val="0"/>
                <w:iCs w:val="0"/>
                <w:color w:val="000000"/>
                <w:sz w:val="20"/>
                <w:szCs w:val="20"/>
                <w:u w:val="none"/>
              </w:rPr>
            </w:pPr>
          </w:p>
        </w:tc>
        <w:tc>
          <w:tcPr>
            <w:tcW w:w="737" w:type="dxa"/>
            <w:gridSpan w:val="2"/>
            <w:shd w:val="clear" w:color="auto" w:fill="auto"/>
            <w:vAlign w:val="center"/>
          </w:tcPr>
          <w:p w14:paraId="4D5541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5974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55" w:hRule="atLeast"/>
          <w:jc w:val="center"/>
        </w:trPr>
        <w:tc>
          <w:tcPr>
            <w:tcW w:w="525" w:type="dxa"/>
            <w:shd w:val="clear" w:color="auto" w:fill="auto"/>
            <w:noWrap/>
            <w:vAlign w:val="center"/>
          </w:tcPr>
          <w:p w14:paraId="307078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15" w:type="dxa"/>
            <w:shd w:val="clear" w:color="auto" w:fill="auto"/>
            <w:vAlign w:val="center"/>
          </w:tcPr>
          <w:p w14:paraId="6EDD3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75420657">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014200000100000</w:t>
            </w:r>
          </w:p>
        </w:tc>
        <w:tc>
          <w:tcPr>
            <w:tcW w:w="1361" w:type="dxa"/>
            <w:shd w:val="clear" w:color="auto" w:fill="auto"/>
            <w:vAlign w:val="center"/>
          </w:tcPr>
          <w:p w14:paraId="4309B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耳穴疗法</w:t>
            </w:r>
          </w:p>
        </w:tc>
        <w:tc>
          <w:tcPr>
            <w:tcW w:w="2747" w:type="dxa"/>
            <w:shd w:val="clear" w:color="auto" w:fill="auto"/>
            <w:vAlign w:val="center"/>
          </w:tcPr>
          <w:p w14:paraId="143D1AA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由医务人员根据病情在耳穴表面，通过贴敷颗粒物（如药物或磁珠等），配合适度的手法，促进疏通经络，调理脏腑，扶正祛邪。</w:t>
            </w:r>
          </w:p>
        </w:tc>
        <w:tc>
          <w:tcPr>
            <w:tcW w:w="1984" w:type="dxa"/>
            <w:shd w:val="clear" w:color="auto" w:fill="auto"/>
            <w:vAlign w:val="center"/>
          </w:tcPr>
          <w:p w14:paraId="236C866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所定价格涵盖穴位确定、消毒、贴敷、按压等过程中所需的人力资源和基本物质资源消耗。</w:t>
            </w:r>
          </w:p>
        </w:tc>
        <w:tc>
          <w:tcPr>
            <w:tcW w:w="735" w:type="dxa"/>
            <w:shd w:val="clear" w:color="auto" w:fill="auto"/>
            <w:vAlign w:val="center"/>
          </w:tcPr>
          <w:p w14:paraId="49441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单耳</w:t>
            </w:r>
          </w:p>
        </w:tc>
        <w:tc>
          <w:tcPr>
            <w:tcW w:w="735" w:type="dxa"/>
            <w:shd w:val="clear" w:color="auto" w:fill="auto"/>
            <w:vAlign w:val="center"/>
          </w:tcPr>
          <w:p w14:paraId="0C5A1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735" w:type="dxa"/>
            <w:shd w:val="clear" w:color="auto" w:fill="auto"/>
            <w:vAlign w:val="center"/>
          </w:tcPr>
          <w:p w14:paraId="3776D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735" w:type="dxa"/>
            <w:shd w:val="clear" w:color="auto" w:fill="auto"/>
            <w:vAlign w:val="center"/>
          </w:tcPr>
          <w:p w14:paraId="665DD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395" w:type="dxa"/>
            <w:shd w:val="clear" w:color="auto" w:fill="auto"/>
            <w:vAlign w:val="center"/>
          </w:tcPr>
          <w:p w14:paraId="73A272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737" w:type="dxa"/>
            <w:gridSpan w:val="2"/>
            <w:shd w:val="clear" w:color="auto" w:fill="auto"/>
            <w:vAlign w:val="center"/>
          </w:tcPr>
          <w:p w14:paraId="20DBD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37F3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525" w:type="dxa"/>
            <w:shd w:val="clear" w:color="auto" w:fill="auto"/>
            <w:noWrap/>
            <w:vAlign w:val="center"/>
          </w:tcPr>
          <w:p w14:paraId="5C44CA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915" w:type="dxa"/>
            <w:shd w:val="clear" w:color="auto" w:fill="auto"/>
            <w:vAlign w:val="center"/>
          </w:tcPr>
          <w:p w14:paraId="4A2ED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40" w:type="dxa"/>
            <w:shd w:val="clear" w:color="auto" w:fill="auto"/>
            <w:vAlign w:val="center"/>
          </w:tcPr>
          <w:p w14:paraId="0AFD03A2">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014200000100001</w:t>
            </w:r>
          </w:p>
        </w:tc>
        <w:tc>
          <w:tcPr>
            <w:tcW w:w="1361" w:type="dxa"/>
            <w:shd w:val="clear" w:color="auto" w:fill="auto"/>
            <w:vAlign w:val="center"/>
          </w:tcPr>
          <w:p w14:paraId="0683C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耳穴疗法-儿童（加收）</w:t>
            </w:r>
          </w:p>
        </w:tc>
        <w:tc>
          <w:tcPr>
            <w:tcW w:w="2747" w:type="dxa"/>
            <w:shd w:val="clear" w:color="auto" w:fill="auto"/>
            <w:vAlign w:val="center"/>
          </w:tcPr>
          <w:p w14:paraId="7F2EEAF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由医务人员根据儿童病情在耳穴表面，通过贴敷颗粒物（如药物或磁珠等），配合适度的手法，促进疏通经络，调理脏腑，扶正祛邪。</w:t>
            </w:r>
          </w:p>
        </w:tc>
        <w:tc>
          <w:tcPr>
            <w:tcW w:w="1984" w:type="dxa"/>
            <w:shd w:val="clear" w:color="auto" w:fill="auto"/>
            <w:vAlign w:val="center"/>
          </w:tcPr>
          <w:p w14:paraId="1619D1A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5" w:type="dxa"/>
            <w:shd w:val="clear" w:color="auto" w:fill="auto"/>
            <w:vAlign w:val="center"/>
          </w:tcPr>
          <w:p w14:paraId="62F16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单耳</w:t>
            </w:r>
          </w:p>
        </w:tc>
        <w:tc>
          <w:tcPr>
            <w:tcW w:w="735" w:type="dxa"/>
            <w:shd w:val="clear" w:color="auto" w:fill="auto"/>
            <w:vAlign w:val="center"/>
          </w:tcPr>
          <w:p w14:paraId="14054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735" w:type="dxa"/>
            <w:shd w:val="clear" w:color="auto" w:fill="auto"/>
            <w:vAlign w:val="center"/>
          </w:tcPr>
          <w:p w14:paraId="24567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735" w:type="dxa"/>
            <w:shd w:val="clear" w:color="auto" w:fill="auto"/>
            <w:vAlign w:val="center"/>
          </w:tcPr>
          <w:p w14:paraId="7D33D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395" w:type="dxa"/>
            <w:shd w:val="clear" w:color="auto" w:fill="auto"/>
            <w:vAlign w:val="center"/>
          </w:tcPr>
          <w:p w14:paraId="1827F920">
            <w:pPr>
              <w:jc w:val="center"/>
              <w:rPr>
                <w:rFonts w:hint="eastAsia" w:ascii="宋体" w:hAnsi="宋体" w:eastAsia="宋体" w:cs="宋体"/>
                <w:i w:val="0"/>
                <w:iCs w:val="0"/>
                <w:color w:val="000000"/>
                <w:sz w:val="20"/>
                <w:szCs w:val="20"/>
                <w:u w:val="none"/>
              </w:rPr>
            </w:pPr>
          </w:p>
        </w:tc>
        <w:tc>
          <w:tcPr>
            <w:tcW w:w="737" w:type="dxa"/>
            <w:gridSpan w:val="2"/>
            <w:shd w:val="clear" w:color="auto" w:fill="auto"/>
            <w:vAlign w:val="center"/>
          </w:tcPr>
          <w:p w14:paraId="3030E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bl>
    <w:p w14:paraId="03838CB6">
      <w:pPr>
        <w:rPr>
          <w:rFonts w:hint="default"/>
          <w:lang w:val="en-US" w:eastAsia="zh-CN"/>
        </w:rPr>
      </w:pPr>
      <w:r>
        <w:rPr>
          <w:rFonts w:hint="default"/>
          <w:lang w:val="en-US" w:eastAsia="zh-CN"/>
        </w:rPr>
        <w:br w:type="page"/>
      </w:r>
    </w:p>
    <w:p w14:paraId="577687CA">
      <w:pPr>
        <w:pStyle w:val="4"/>
        <w:tabs>
          <w:tab w:val="left" w:pos="3800"/>
        </w:tabs>
        <w:ind w:left="0" w:leftChars="0"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5A033B7F">
      <w:pPr>
        <w:pStyle w:val="4"/>
        <w:tabs>
          <w:tab w:val="left" w:pos="3800"/>
        </w:tabs>
        <w:ind w:left="0" w:leftChars="0" w:firstLine="0" w:firstLineChars="0"/>
        <w:jc w:val="center"/>
        <w:rPr>
          <w:rFonts w:hint="eastAsia"/>
          <w:color w:val="auto"/>
          <w:lang w:val="en-US" w:eastAsia="zh-CN"/>
        </w:rPr>
      </w:pPr>
      <w:r>
        <w:rPr>
          <w:rFonts w:hint="eastAsia" w:ascii="方正小标宋简体" w:hAnsi="黑体" w:eastAsia="方正小标宋简体" w:cs="仿宋_GB2312"/>
          <w:color w:val="auto"/>
          <w:sz w:val="44"/>
          <w:szCs w:val="44"/>
        </w:rPr>
        <w:t>废止现行</w:t>
      </w:r>
      <w:r>
        <w:rPr>
          <w:rFonts w:hint="eastAsia" w:ascii="方正小标宋简体" w:hAnsi="黑体" w:eastAsia="方正小标宋简体" w:cs="仿宋_GB2312"/>
          <w:color w:val="auto"/>
          <w:sz w:val="44"/>
          <w:szCs w:val="44"/>
          <w:lang w:val="en-US" w:eastAsia="zh-CN"/>
        </w:rPr>
        <w:t>29</w:t>
      </w:r>
      <w:r>
        <w:rPr>
          <w:rFonts w:hint="eastAsia" w:ascii="方正小标宋简体" w:hAnsi="黑体" w:eastAsia="方正小标宋简体" w:cs="仿宋_GB2312"/>
          <w:color w:val="auto"/>
          <w:sz w:val="44"/>
          <w:szCs w:val="44"/>
        </w:rPr>
        <w:t>个</w:t>
      </w:r>
      <w:r>
        <w:rPr>
          <w:rFonts w:hint="eastAsia" w:ascii="方正小标宋简体" w:hAnsi="黑体" w:eastAsia="方正小标宋简体" w:cs="仿宋_GB2312"/>
          <w:color w:val="auto"/>
          <w:sz w:val="44"/>
          <w:szCs w:val="44"/>
          <w:lang w:val="en-US" w:eastAsia="zh-CN"/>
        </w:rPr>
        <w:t>中医针法</w:t>
      </w:r>
      <w:r>
        <w:rPr>
          <w:rFonts w:hint="eastAsia" w:ascii="方正小标宋简体" w:hAnsi="黑体" w:eastAsia="方正小标宋简体" w:cs="仿宋_GB2312"/>
          <w:color w:val="auto"/>
          <w:sz w:val="44"/>
          <w:szCs w:val="44"/>
        </w:rPr>
        <w:t>类医疗服务价格项目表</w:t>
      </w:r>
    </w:p>
    <w:tbl>
      <w:tblPr>
        <w:tblStyle w:val="1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18"/>
        <w:gridCol w:w="1417"/>
        <w:gridCol w:w="1814"/>
        <w:gridCol w:w="7370"/>
        <w:gridCol w:w="1020"/>
        <w:gridCol w:w="1220"/>
        <w:gridCol w:w="1161"/>
      </w:tblGrid>
      <w:tr w14:paraId="0A227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618" w:type="dxa"/>
            <w:tcBorders>
              <w:top w:val="single" w:color="000000" w:sz="4" w:space="0"/>
              <w:left w:val="single" w:color="000000" w:sz="4" w:space="0"/>
              <w:bottom w:val="single" w:color="000000" w:sz="4" w:space="0"/>
              <w:right w:val="single" w:color="000000" w:sz="4" w:space="0"/>
            </w:tcBorders>
            <w:noWrap/>
            <w:vAlign w:val="center"/>
          </w:tcPr>
          <w:p w14:paraId="4D2635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i w:val="0"/>
                <w:color w:val="auto"/>
                <w:sz w:val="20"/>
                <w:szCs w:val="20"/>
                <w:u w:val="none"/>
              </w:rPr>
            </w:pPr>
            <w:r>
              <w:rPr>
                <w:rFonts w:hint="eastAsia" w:ascii="黑体" w:hAnsi="黑体" w:eastAsia="黑体" w:cs="黑体"/>
                <w:b w:val="0"/>
                <w:bCs/>
                <w:i w:val="0"/>
                <w:color w:val="auto"/>
                <w:kern w:val="0"/>
                <w:sz w:val="20"/>
                <w:szCs w:val="20"/>
                <w:u w:val="none"/>
                <w:lang w:val="en-US" w:eastAsia="zh-CN" w:bidi="ar"/>
              </w:rPr>
              <w:t>序号</w:t>
            </w:r>
          </w:p>
        </w:tc>
        <w:tc>
          <w:tcPr>
            <w:tcW w:w="1417" w:type="dxa"/>
            <w:tcBorders>
              <w:top w:val="single" w:color="000000" w:sz="4" w:space="0"/>
              <w:left w:val="single" w:color="000000" w:sz="4" w:space="0"/>
              <w:bottom w:val="single" w:color="000000" w:sz="4" w:space="0"/>
              <w:right w:val="single" w:color="000000" w:sz="4" w:space="0"/>
            </w:tcBorders>
            <w:noWrap/>
            <w:vAlign w:val="center"/>
          </w:tcPr>
          <w:p w14:paraId="5D269475">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黑体" w:hAnsi="黑体" w:eastAsia="黑体" w:cs="黑体"/>
                <w:b w:val="0"/>
                <w:bCs w:val="0"/>
                <w:i w:val="0"/>
                <w:iCs w:val="0"/>
                <w:color w:val="auto"/>
                <w:kern w:val="0"/>
                <w:sz w:val="20"/>
                <w:szCs w:val="20"/>
                <w:u w:val="none"/>
                <w:lang w:val="en-US" w:eastAsia="zh-CN" w:bidi="ar"/>
              </w:rPr>
            </w:pPr>
            <w:r>
              <w:rPr>
                <w:rFonts w:hint="eastAsia" w:ascii="黑体" w:hAnsi="黑体" w:eastAsia="黑体" w:cs="黑体"/>
                <w:b w:val="0"/>
                <w:bCs w:val="0"/>
                <w:i w:val="0"/>
                <w:iCs w:val="0"/>
                <w:color w:val="auto"/>
                <w:kern w:val="0"/>
                <w:sz w:val="20"/>
                <w:szCs w:val="20"/>
                <w:u w:val="none"/>
                <w:lang w:val="en-US" w:eastAsia="zh-CN" w:bidi="ar"/>
              </w:rPr>
              <w:t>江西省医疗</w:t>
            </w:r>
          </w:p>
          <w:p w14:paraId="3807075F">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黑体" w:hAnsi="黑体" w:eastAsia="黑体" w:cs="黑体"/>
                <w:b w:val="0"/>
                <w:bCs/>
                <w:i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服务项目编码</w:t>
            </w:r>
          </w:p>
        </w:tc>
        <w:tc>
          <w:tcPr>
            <w:tcW w:w="1814" w:type="dxa"/>
            <w:tcBorders>
              <w:top w:val="single" w:color="000000" w:sz="4" w:space="0"/>
              <w:left w:val="single" w:color="000000" w:sz="4" w:space="0"/>
              <w:bottom w:val="single" w:color="000000" w:sz="4" w:space="0"/>
              <w:right w:val="single" w:color="000000" w:sz="4" w:space="0"/>
            </w:tcBorders>
            <w:noWrap/>
            <w:vAlign w:val="center"/>
          </w:tcPr>
          <w:p w14:paraId="0C59F0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i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江西省医疗服务项目名称</w:t>
            </w:r>
          </w:p>
        </w:tc>
        <w:tc>
          <w:tcPr>
            <w:tcW w:w="7370" w:type="dxa"/>
            <w:tcBorders>
              <w:top w:val="single" w:color="000000" w:sz="4" w:space="0"/>
              <w:left w:val="single" w:color="000000" w:sz="4" w:space="0"/>
              <w:bottom w:val="single" w:color="000000" w:sz="4" w:space="0"/>
              <w:right w:val="single" w:color="000000" w:sz="4" w:space="0"/>
            </w:tcBorders>
            <w:noWrap/>
            <w:vAlign w:val="center"/>
          </w:tcPr>
          <w:p w14:paraId="3DB709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i w:val="0"/>
                <w:color w:val="auto"/>
                <w:sz w:val="20"/>
                <w:szCs w:val="20"/>
                <w:u w:val="none"/>
              </w:rPr>
            </w:pPr>
            <w:r>
              <w:rPr>
                <w:rFonts w:hint="eastAsia" w:ascii="黑体" w:hAnsi="黑体" w:eastAsia="黑体" w:cs="黑体"/>
                <w:b w:val="0"/>
                <w:bCs/>
                <w:i w:val="0"/>
                <w:color w:val="auto"/>
                <w:kern w:val="0"/>
                <w:sz w:val="20"/>
                <w:szCs w:val="20"/>
                <w:u w:val="none"/>
                <w:lang w:val="en-US" w:eastAsia="zh-CN" w:bidi="ar"/>
              </w:rPr>
              <w:t>项目内涵</w:t>
            </w:r>
          </w:p>
        </w:tc>
        <w:tc>
          <w:tcPr>
            <w:tcW w:w="1020" w:type="dxa"/>
            <w:tcBorders>
              <w:top w:val="single" w:color="000000" w:sz="4" w:space="0"/>
              <w:left w:val="single" w:color="000000" w:sz="4" w:space="0"/>
              <w:bottom w:val="single" w:color="000000" w:sz="4" w:space="0"/>
              <w:right w:val="single" w:color="000000" w:sz="4" w:space="0"/>
            </w:tcBorders>
            <w:noWrap/>
            <w:vAlign w:val="center"/>
          </w:tcPr>
          <w:p w14:paraId="7014CF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i w:val="0"/>
                <w:color w:val="auto"/>
                <w:sz w:val="20"/>
                <w:szCs w:val="20"/>
                <w:u w:val="none"/>
              </w:rPr>
            </w:pPr>
            <w:r>
              <w:rPr>
                <w:rFonts w:hint="eastAsia" w:ascii="黑体" w:hAnsi="黑体" w:eastAsia="黑体" w:cs="黑体"/>
                <w:b w:val="0"/>
                <w:bCs/>
                <w:i w:val="0"/>
                <w:color w:val="auto"/>
                <w:kern w:val="0"/>
                <w:sz w:val="20"/>
                <w:szCs w:val="20"/>
                <w:u w:val="none"/>
                <w:lang w:val="en-US" w:eastAsia="zh-CN" w:bidi="ar"/>
              </w:rPr>
              <w:t>除外内容</w:t>
            </w: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22C487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i w:val="0"/>
                <w:color w:val="auto"/>
                <w:sz w:val="20"/>
                <w:szCs w:val="20"/>
                <w:u w:val="none"/>
              </w:rPr>
            </w:pPr>
            <w:r>
              <w:rPr>
                <w:rFonts w:hint="eastAsia" w:ascii="黑体" w:hAnsi="黑体" w:eastAsia="黑体" w:cs="黑体"/>
                <w:b w:val="0"/>
                <w:bCs/>
                <w:i w:val="0"/>
                <w:color w:val="auto"/>
                <w:kern w:val="0"/>
                <w:sz w:val="20"/>
                <w:szCs w:val="20"/>
                <w:u w:val="none"/>
                <w:lang w:val="en-US" w:eastAsia="zh-CN" w:bidi="ar"/>
              </w:rPr>
              <w:t>计价单位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6844B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i w:val="0"/>
                <w:color w:val="auto"/>
                <w:sz w:val="20"/>
                <w:szCs w:val="20"/>
                <w:u w:val="none"/>
              </w:rPr>
            </w:pPr>
            <w:r>
              <w:rPr>
                <w:rFonts w:hint="eastAsia" w:ascii="黑体" w:hAnsi="黑体" w:eastAsia="黑体" w:cs="黑体"/>
                <w:b w:val="0"/>
                <w:bCs/>
                <w:i w:val="0"/>
                <w:color w:val="auto"/>
                <w:kern w:val="0"/>
                <w:sz w:val="20"/>
                <w:szCs w:val="20"/>
                <w:u w:val="none"/>
                <w:lang w:val="en-US" w:eastAsia="zh-CN" w:bidi="ar"/>
              </w:rPr>
              <w:t>计价说明</w:t>
            </w:r>
          </w:p>
        </w:tc>
      </w:tr>
      <w:tr w14:paraId="70167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3B9D9C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A71C6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430000001</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C9D1D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普通针刺</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74174A2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包括体针、快速针、磁针、金针、姜针、药针等</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E7253B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373339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635A5ABB">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0D900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4F1962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073E6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430000004</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2BDF7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馋针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3DE221E2">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9B282E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15E9DD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每个部位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26288B25">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019A2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579CAA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C7C83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430000005</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C135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微针针刺</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1B30730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包括舌针、鼻针、腹针、腕踝针、手针、面针、口针、项针、夹髓针</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BCD93D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66B681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0569F425">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718CE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39CE43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2B5F2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430000006</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FF518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锋钩针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6FD08C93">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FC3961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3851B2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4BB69DC4">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6E005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2CBCAF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FAEE7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430000007</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96BC4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头皮针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455A9344">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D48623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1DD85B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4E5D1E1">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66128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7C9086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878BB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430000008</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C1BE5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眼针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626B2277">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548732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36F04C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单眼和次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423E7EF8">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051B1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5E0737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AA339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430000009</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7DD1C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梅花针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3BC8D2CF">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A6A680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365648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455A9FBF">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7C88B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59FB43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80066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430000010</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16DCD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火针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2C0C672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包括电火针</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65E97E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0D3BF8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6EF13024">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10ABF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2237D5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F9AEC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430000011</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62D93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埋针治疗</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38C9856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包括穴位包埋、穴位埋线、穴位结扎</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F699B21">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033D35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每个穴位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6461B6CD">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4969F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2F2853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086F2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430000012</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E93A4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耳针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3391477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包括耳穴压豆、耳穴埋针、磁珠压耳穴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70DDE3C">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728352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单耳</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8D8AB38">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1AB56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595988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6E471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430000013</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01A66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芒针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2DDAB4D4">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E718242">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70CC1A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每个穴位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1A3ABF4">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0D5E1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2B8461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B5326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430000014</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BB481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针刺运动疗法</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176894F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包括辅助运动</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3C386A5">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060E0A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五个穴位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A08FD2A">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26322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0987C5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6319F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430000015</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7CE5C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针刺麻醉</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690615FE">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132D7F4">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1958E3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3D8BBD33">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41466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3F2608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C3153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430000016</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5923A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电针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108FE74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包括普通电针、电热针灸、电冷针灸</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67AC2DD">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6B4415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二个穴位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7E51ACAA">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09AD1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001617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2092E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430000017</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B59E4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浮针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2B1E56DB">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0578BC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32A36D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一个穴位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7210ED7">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28A04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1CB561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ACD1E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430000018</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5044B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微波针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11035485">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EEA1B8E">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754B7B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二个穴位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09E71AF2">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5D1CC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64AC2F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BB1A9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430000019</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674AA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激光针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64317DDB">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17D2DF1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42CB59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二个穴位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0E20DC35">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7485A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14629B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64407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430000020</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883FB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磁热疗法</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0406D685">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B5A9C2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13D711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二个穴位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86C193D">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2D07D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57BCE1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DBF2F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430000022</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B6AD1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穴位注射</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6BC1156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包括穴位封闭、自血疗法</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4CFBB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药物</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3A4FFE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二个穴位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2E990860">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04357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071EB6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60962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430000024</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6B0EB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子午流注开穴法</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35A51DC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包括灵龟八法</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FAE718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1F79F6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每个穴位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CDEF89C">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6EADD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788662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F5144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430000026</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4B2C6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蜂蛰疗法</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471C9A2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指以活蜂尾针蛰刺达到蜂毒治疗作用</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901C4F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6BB143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E702139">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40D3E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0A8AFF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8E35A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430000027</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2F869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滚针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78765EB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包括电滚针</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BCFF387">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108A03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416F2649">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5F0D1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03CF56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CD868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430000028</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12A53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杵针</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4BC2E23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包括圆针</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58362B1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27BFBB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穴位</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166E5925">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3E09B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748F42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555EE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430000030</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2CD82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耳穴压丸治疗</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65B2753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医者一手固定耳廓，另一手用镊子夹取压丸贴压耳穴，并适度按揉，根据病情嘱患者定时按揉</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9D5BB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磁珠</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7C04C5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4D901844">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6407A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000A35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3A7E3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430000031</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F38A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特殊穴位针刺</w:t>
            </w:r>
          </w:p>
        </w:tc>
        <w:tc>
          <w:tcPr>
            <w:tcW w:w="73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8FE49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指在普通针刺的基础上，根据疾病特点，针刺具有一定危险性的特殊穴位，含睛明、承泣、球后、风府、风池、哑门、人迎、天突、冲门、长强、会阴及位于胸胁、背部、肋间的腧穴等</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6C945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6496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6192D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收取“特殊穴位针刺”费后不再收取“普通针刺”费。</w:t>
            </w:r>
          </w:p>
        </w:tc>
      </w:tr>
      <w:tr w14:paraId="59978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31412E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1011F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470000004</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1E64A1">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眼结膜囊穴位注射</w:t>
            </w:r>
          </w:p>
        </w:tc>
        <w:tc>
          <w:tcPr>
            <w:tcW w:w="73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A1D27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含穴位针刺</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79C8E1">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1CC6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单眼</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4AE60E">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r>
      <w:tr w14:paraId="76F19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CDC3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F0F9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QYLS00030</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BF21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脐针疗法</w:t>
            </w:r>
          </w:p>
        </w:tc>
        <w:tc>
          <w:tcPr>
            <w:tcW w:w="73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214F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根据辨证施治选择针刺方位，对神阙穴施针，留置25分钟及以上拔针</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19654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009F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人次</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DA1FE3">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both"/>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仅限浙江大学医学院附属第一医院江西医院使用。</w:t>
            </w:r>
          </w:p>
        </w:tc>
      </w:tr>
      <w:tr w14:paraId="1F7DE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5"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0CF606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46046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N430000032</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5D404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力敏针刺</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32DDA74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在光线明亮，安静，温度保持在20℃～25℃室内环境中操作，首先向患者解释力敏针刺操作，让患者放松；其次按照如下规律（①相关疾病的腧穴力敏化高发部位；②病痛局部及其临近位置；③与疾病脏腑相关的经络循行路线；④传统经脉循行相关的特定穴区；⑤与疾病相关的脏腑-神经节段分布区域）用审、问、切、循、扪、按、提等手法探查力敏腧穴；⑥在力敏腧穴处行针刺手法</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495C9D0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6240A1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5穴</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0B826299">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r>
      <w:tr w14:paraId="50A29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618" w:type="dxa"/>
            <w:tcBorders>
              <w:top w:val="single" w:color="000000" w:sz="4" w:space="0"/>
              <w:left w:val="single" w:color="000000" w:sz="4" w:space="0"/>
              <w:bottom w:val="single" w:color="000000" w:sz="4" w:space="0"/>
              <w:right w:val="single" w:color="000000" w:sz="4" w:space="0"/>
            </w:tcBorders>
            <w:noWrap w:val="0"/>
            <w:vAlign w:val="center"/>
          </w:tcPr>
          <w:p w14:paraId="559AE0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BA2CA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N430000029</w:t>
            </w:r>
          </w:p>
        </w:tc>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897B71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金属针导热治疗</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14:paraId="7ED95C3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术前评定病情，定位、消毒、局麻、扎针、无菌铺巾、加热、取针、消毒、无菌敷料包扎。具体操作过程为根据病情需要，选择压痛点、病变部位为密集型进针点，以龙胆紫作标记，皮肤常规消毒，每个进针点利多卡因麻醉，对准深层病变方向垂直或斜刺进针，直达肌膜附着的骨面，于金属针尾部接上电极探头加热，治疗完毕关机后起针，消毒纱布按压2分钟以防皮下及深部组织淤血，针眼处用碘伏消毒，进针区域纱布覆盖，无菌敷料按压止血，皮肤消毒液常规消毒，小方纱布或棉垫包扎银针区域。</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9F9D552">
            <w:pPr>
              <w:keepNext w:val="0"/>
              <w:keepLines w:val="0"/>
              <w:pageBreakBefore w:val="0"/>
              <w:widowControl/>
              <w:kinsoku/>
              <w:wordWrap/>
              <w:overflowPunct/>
              <w:topLinePunct w:val="0"/>
              <w:autoSpaceDE/>
              <w:autoSpaceDN/>
              <w:bidi w:val="0"/>
              <w:adjustRightInd/>
              <w:snapToGrid/>
              <w:spacing w:line="280" w:lineRule="exact"/>
              <w:jc w:val="left"/>
              <w:rPr>
                <w:rFonts w:hint="eastAsia" w:ascii="宋体" w:hAnsi="宋体" w:eastAsia="宋体" w:cs="宋体"/>
                <w:i w:val="0"/>
                <w:color w:val="auto"/>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6CDB41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针</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14:paraId="2F75963B">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r>
    </w:tbl>
    <w:p w14:paraId="0489EA39">
      <w:pPr>
        <w:rPr>
          <w:rFonts w:hint="default"/>
          <w:lang w:val="en-US" w:eastAsia="zh-CN"/>
        </w:rPr>
      </w:pPr>
      <w:r>
        <w:rPr>
          <w:rFonts w:hint="default"/>
          <w:lang w:val="en-US" w:eastAsia="zh-CN"/>
        </w:rPr>
        <w:br w:type="page"/>
      </w:r>
    </w:p>
    <w:p w14:paraId="02FF5180">
      <w:pPr>
        <w:pStyle w:val="4"/>
        <w:ind w:left="0" w:leftChars="0" w:firstLine="0" w:firstLineChars="0"/>
        <w:rPr>
          <w:rFonts w:hint="default"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 w:eastAsia="zh-CN" w:bidi="ar"/>
        </w:rPr>
        <w:t>附件</w:t>
      </w:r>
      <w:r>
        <w:rPr>
          <w:rFonts w:hint="eastAsia" w:ascii="黑体" w:hAnsi="宋体" w:eastAsia="黑体" w:cs="黑体"/>
          <w:i w:val="0"/>
          <w:color w:val="auto"/>
          <w:kern w:val="0"/>
          <w:sz w:val="32"/>
          <w:szCs w:val="32"/>
          <w:u w:val="none"/>
          <w:lang w:val="en-US" w:eastAsia="zh-CN" w:bidi="ar"/>
        </w:rPr>
        <w:t>5</w:t>
      </w:r>
    </w:p>
    <w:p w14:paraId="006B31ED">
      <w:pPr>
        <w:keepNext w:val="0"/>
        <w:keepLines w:val="0"/>
        <w:widowControl/>
        <w:suppressLineNumbers w:val="0"/>
        <w:jc w:val="center"/>
        <w:textAlignment w:val="center"/>
        <w:rPr>
          <w:rFonts w:ascii="方正小标宋简体" w:hAnsi="方正小标宋简体" w:eastAsia="方正小标宋简体" w:cs="方正小标宋简体"/>
          <w:i w:val="0"/>
          <w:color w:val="auto"/>
          <w:sz w:val="44"/>
          <w:szCs w:val="44"/>
          <w:u w:val="none"/>
        </w:rPr>
      </w:pPr>
      <w:r>
        <w:rPr>
          <w:rFonts w:hint="eastAsia" w:ascii="方正小标宋简体" w:hAnsi="方正小标宋简体" w:eastAsia="方正小标宋简体" w:cs="方正小标宋简体"/>
          <w:i w:val="0"/>
          <w:color w:val="auto"/>
          <w:kern w:val="0"/>
          <w:sz w:val="44"/>
          <w:szCs w:val="44"/>
          <w:u w:val="none"/>
          <w:lang w:val="en-US" w:eastAsia="zh-CN" w:bidi="ar"/>
        </w:rPr>
        <w:t>规范整合后中医外治类医疗服务项目价格表</w:t>
      </w:r>
    </w:p>
    <w:tbl>
      <w:tblPr>
        <w:tblStyle w:val="10"/>
        <w:tblW w:w="496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680"/>
      </w:tblGrid>
      <w:tr w14:paraId="3EC62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44" w:hRule="atLeast"/>
          <w:jc w:val="center"/>
        </w:trPr>
        <w:tc>
          <w:tcPr>
            <w:tcW w:w="5000" w:type="pct"/>
            <w:tcBorders>
              <w:top w:val="single" w:color="000000" w:sz="4" w:space="0"/>
              <w:left w:val="single" w:color="000000" w:sz="4" w:space="0"/>
              <w:bottom w:val="single" w:color="000000" w:sz="4" w:space="0"/>
              <w:right w:val="single" w:color="000000" w:sz="4" w:space="0"/>
            </w:tcBorders>
            <w:noWrap/>
            <w:vAlign w:val="center"/>
          </w:tcPr>
          <w:p w14:paraId="74A9195B">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使用说明：</w:t>
            </w:r>
          </w:p>
          <w:p w14:paraId="312E8B50">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1.本指南所称“价格构成”，指项目价格应涵盖的各类资源消耗，用于确定计价单元的边界，不应作为临床技术标准理解，不是实际操作方式、路径、步骤、程序的强制性要求，所列“设备投入”包括但不限于操作设备、器具及固定资产投入。</w:t>
            </w:r>
          </w:p>
          <w:p w14:paraId="55AC9338">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2.本指南所称的“加收项”，指同一项目以不同方式提供或在不同场景应用时，确有必要制定差异化价格标准而细分的一类子项，包括在原项目价格基础上增加收费的情况，具体的加收标准（加收率或加收金额）由各地依权限制定；实际应用中，同时涉及多个加收项的，以主项目单价为基础计算各项的加收水平后，求和得出加收金额。</w:t>
            </w:r>
          </w:p>
          <w:p w14:paraId="592A8854">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3.本指南所称的“扩展项”，指同一项目下以不同方式提供或在不同场景应用时，只扩展价格项目适用范围、不额外加价的一类子项，子项的价格按主项目执行。</w:t>
            </w:r>
          </w:p>
          <w:p w14:paraId="25548470">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4.本指南所称基本物耗是指原则上限于不应或不必要与医疗服务项目分割的易耗品，属于医疗服务价格项目应当使用的，包括但不限于各类消杀用品、储存用品、清洁用品、个人防护用品、针（刀）具、刮匙、垃圾处理用品、冲洗液、润滑剂、灌洗液、棉球、棉签、药线、药捻、腕带、护垫、衬垫、手术巾（单）、治疗巾（单）、治疗护理盘（包）、注射器、压舌板、防渗漏垫、标签、操作器具、冲洗工具、备皮工具、包裹单（袋）等。基本物耗成本计入项目价格，不另行收费。除基本物耗以外的其他耗材，按照实际采购价格零差率收费销售。</w:t>
            </w:r>
          </w:p>
          <w:p w14:paraId="4030FDEC">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5.本指南所称的“深层”，指达皮下脂肪组织。</w:t>
            </w:r>
          </w:p>
          <w:p w14:paraId="6C671732">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6.本指南所称的“穴位”，指中医行业主管部门相关技术规范确定的人体点区部位。</w:t>
            </w:r>
          </w:p>
          <w:p w14:paraId="5E842C1D">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7.本指南所列“中医穴位放血”加收项中，“甲床放血”的计价单位：“每甲”。</w:t>
            </w:r>
          </w:p>
          <w:p w14:paraId="434A71EB">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8.本指南所称“中药贴敷（大）”指面积∈（5cm×5cm，10cm×10cm]，“中药贴敷（特大）”、“中药烫熨（特大）”、“中药溻渍（特大）”、“中药涂擦（特大）”指面积∈（10cm×10cm，∞）。</w:t>
            </w:r>
          </w:p>
          <w:p w14:paraId="33DC8BBF">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9.本指南所称特殊材料贴敷指包括但不限于耳贴、纳米、红外等功能性材料贴敷。</w:t>
            </w:r>
          </w:p>
          <w:p w14:paraId="3C22D29F">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10本指南所称的“儿童”，指6周岁及以下。周岁的计算方法以法律的相关规定为准。</w:t>
            </w:r>
          </w:p>
        </w:tc>
      </w:tr>
    </w:tbl>
    <w:p w14:paraId="1BE84A68">
      <w:pPr>
        <w:tabs>
          <w:tab w:val="left" w:pos="727"/>
        </w:tabs>
        <w:bidi w:val="0"/>
        <w:jc w:val="left"/>
        <w:rPr>
          <w:rFonts w:hint="default"/>
          <w:lang w:val="en-US" w:eastAsia="zh-CN"/>
        </w:rPr>
      </w:pPr>
    </w:p>
    <w:tbl>
      <w:tblPr>
        <w:tblStyle w:val="10"/>
        <w:tblW w:w="504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850"/>
        <w:gridCol w:w="1644"/>
        <w:gridCol w:w="964"/>
        <w:gridCol w:w="2887"/>
        <w:gridCol w:w="2604"/>
        <w:gridCol w:w="699"/>
        <w:gridCol w:w="737"/>
        <w:gridCol w:w="737"/>
        <w:gridCol w:w="737"/>
        <w:gridCol w:w="1871"/>
        <w:gridCol w:w="737"/>
        <w:gridCol w:w="4"/>
      </w:tblGrid>
      <w:tr w14:paraId="23EDD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tblHeader/>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7343D813">
            <w:pPr>
              <w:keepNext w:val="0"/>
              <w:keepLines w:val="0"/>
              <w:widowControl/>
              <w:suppressLineNumbers w:val="0"/>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序号</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3A43CA0">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归集</w:t>
            </w:r>
          </w:p>
          <w:p w14:paraId="2239BFD7">
            <w:pPr>
              <w:keepNext w:val="0"/>
              <w:keepLines w:val="0"/>
              <w:widowControl/>
              <w:suppressLineNumbers w:val="0"/>
              <w:jc w:val="center"/>
              <w:textAlignment w:val="center"/>
              <w:rPr>
                <w:rFonts w:hint="eastAsia" w:ascii="黑体" w:hAnsi="黑体" w:eastAsia="黑体" w:cs="黑体"/>
                <w:b w:val="0"/>
                <w:bCs w:val="0"/>
                <w:color w:val="auto"/>
                <w:kern w:val="0"/>
                <w:sz w:val="20"/>
                <w:szCs w:val="20"/>
                <w:vertAlign w:val="baseline"/>
                <w:lang w:val="en-US" w:eastAsia="zh-CN"/>
              </w:rPr>
            </w:pPr>
            <w:r>
              <w:rPr>
                <w:rFonts w:hint="eastAsia" w:ascii="黑体" w:hAnsi="宋体" w:eastAsia="黑体" w:cs="黑体"/>
                <w:i w:val="0"/>
                <w:iCs w:val="0"/>
                <w:color w:val="000000"/>
                <w:kern w:val="0"/>
                <w:sz w:val="20"/>
                <w:szCs w:val="20"/>
                <w:u w:val="none"/>
                <w:lang w:val="en-US" w:eastAsia="zh-CN" w:bidi="ar"/>
              </w:rPr>
              <w:t>口径</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37C3E4B0">
            <w:pPr>
              <w:keepNext w:val="0"/>
              <w:keepLines w:val="0"/>
              <w:widowControl/>
              <w:suppressLineNumbers w:val="0"/>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项目代码</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E4D309C">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项目</w:t>
            </w:r>
          </w:p>
          <w:p w14:paraId="5C431A3D">
            <w:pPr>
              <w:keepNext w:val="0"/>
              <w:keepLines w:val="0"/>
              <w:widowControl/>
              <w:suppressLineNumbers w:val="0"/>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名称</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439D14B6">
            <w:pPr>
              <w:keepNext w:val="0"/>
              <w:keepLines w:val="0"/>
              <w:widowControl/>
              <w:suppressLineNumbers w:val="0"/>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服务产出</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A40855A">
            <w:pPr>
              <w:keepNext w:val="0"/>
              <w:keepLines w:val="0"/>
              <w:widowControl/>
              <w:suppressLineNumbers w:val="0"/>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价格构成</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7F6A1AE4">
            <w:pPr>
              <w:keepNext w:val="0"/>
              <w:keepLines w:val="0"/>
              <w:widowControl/>
              <w:suppressLineNumbers w:val="0"/>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计价单位</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B0B02C1">
            <w:pPr>
              <w:keepNext w:val="0"/>
              <w:keepLines w:val="0"/>
              <w:widowControl/>
              <w:suppressLineNumbers w:val="0"/>
              <w:jc w:val="center"/>
              <w:textAlignment w:val="center"/>
              <w:rPr>
                <w:rFonts w:hint="default" w:ascii="黑体" w:hAnsi="黑体" w:eastAsia="黑体" w:cs="黑体"/>
                <w:b w:val="0"/>
                <w:bCs/>
                <w:i w:val="0"/>
                <w:color w:val="auto"/>
                <w:kern w:val="0"/>
                <w:sz w:val="22"/>
                <w:szCs w:val="22"/>
                <w:u w:val="none"/>
                <w:lang w:val="en-US" w:eastAsia="zh-CN" w:bidi="ar"/>
              </w:rPr>
            </w:pPr>
            <w:r>
              <w:rPr>
                <w:rFonts w:hint="eastAsia" w:ascii="黑体" w:hAnsi="宋体" w:eastAsia="黑体" w:cs="黑体"/>
                <w:i w:val="0"/>
                <w:iCs w:val="0"/>
                <w:color w:val="000000"/>
                <w:kern w:val="0"/>
                <w:sz w:val="20"/>
                <w:szCs w:val="20"/>
                <w:u w:val="none"/>
                <w:lang w:val="en-US" w:eastAsia="zh-CN" w:bidi="ar"/>
              </w:rPr>
              <w:t>三级</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价格</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（元）</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0EF3E16">
            <w:pPr>
              <w:keepNext w:val="0"/>
              <w:keepLines w:val="0"/>
              <w:widowControl/>
              <w:suppressLineNumbers w:val="0"/>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宋体" w:eastAsia="黑体" w:cs="黑体"/>
                <w:i w:val="0"/>
                <w:iCs w:val="0"/>
                <w:color w:val="000000"/>
                <w:kern w:val="0"/>
                <w:sz w:val="20"/>
                <w:szCs w:val="20"/>
                <w:u w:val="none"/>
                <w:lang w:val="en-US" w:eastAsia="zh-CN" w:bidi="ar"/>
              </w:rPr>
              <w:t>二级</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价格</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（元）</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1911511">
            <w:pPr>
              <w:keepNext w:val="0"/>
              <w:keepLines w:val="0"/>
              <w:widowControl/>
              <w:suppressLineNumbers w:val="0"/>
              <w:jc w:val="center"/>
              <w:textAlignment w:val="center"/>
              <w:rPr>
                <w:rFonts w:hint="eastAsia" w:ascii="黑体" w:hAnsi="黑体" w:eastAsia="黑体" w:cs="黑体"/>
                <w:color w:val="auto"/>
                <w:kern w:val="0"/>
                <w:sz w:val="20"/>
                <w:szCs w:val="20"/>
                <w:vertAlign w:val="baseline"/>
                <w:lang w:val="en-US" w:eastAsia="zh-CN"/>
              </w:rPr>
            </w:pPr>
            <w:r>
              <w:rPr>
                <w:rFonts w:hint="eastAsia" w:ascii="黑体" w:hAnsi="宋体" w:eastAsia="黑体" w:cs="黑体"/>
                <w:i w:val="0"/>
                <w:iCs w:val="0"/>
                <w:color w:val="000000"/>
                <w:kern w:val="0"/>
                <w:sz w:val="20"/>
                <w:szCs w:val="20"/>
                <w:u w:val="none"/>
                <w:lang w:val="en-US" w:eastAsia="zh-CN" w:bidi="ar"/>
              </w:rPr>
              <w:t>一级</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价格</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（元）</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25BDC24">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1"/>
                <w:szCs w:val="21"/>
                <w:u w:val="none"/>
                <w:lang w:val="en-US" w:eastAsia="zh-CN" w:bidi="ar"/>
              </w:rPr>
              <w:t>计价说明</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D5AAD92">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医保</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支付</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类别</w:t>
            </w:r>
          </w:p>
        </w:tc>
      </w:tr>
      <w:tr w14:paraId="330A4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5F9943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240D4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DF352F1">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014100000010000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9E7DB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中药贴敷</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0D62ACE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由医务人员使用贴敷制品敷贴于体表特定部位或穴位，通过药物或物理作用，以发挥促进气血调和、阴阳平衡等各类作用。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48E127D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所定价格涵盖确定穴位，局部清洁，贴敷材料准备（含掺药、封包、冷热处理等），应用药物贴敷，处理用物所需的人力资源和基本物质资源消耗，含设备投入及维护成本。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021452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30A8B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EC437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40.5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FA3FB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B5B93C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按面积大小分大、特大；中药贴敷（大）加收10%；中药贴敷（特大）加收20%；中药硬膏贴敷加收10%；6周岁以下儿童加收30%。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47D15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10F54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2A3DE6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CB863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6BD4F64">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014100000010001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67544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中药贴敷-中药硬膏贴敷（加收）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626A8EA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由医务人员使用中药硬膏贴敷制品敷贴于体表特定部位或穴位，通过药物或物理作用，以发挥促进气血调和、阴阳平衡等各类作用。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6CBBB22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1C7600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A1008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1018F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0513C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44AD75C">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4EF8B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3C6ED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04C639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5E420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3349826">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014100000010002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CCFAD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中药贴敷-中药贴敷（大）（加收）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E24E7B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由医务人员使用贴敷(大)制品敷贴于体表特定部位或穴位，通过药物或物理作用，以发挥促进气血调和、阴阳平衡等各类作用。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0AFEFC5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D1278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38A90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B15AD1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896E9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30D15E5E">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FF5D3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11187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2858D4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9E2AB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88B917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014100000010003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0B049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中药贴敷-中药贴敷（特大）（加收）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4D58A95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由医务人员使用贴敷(特大)制品敷贴于体表特定部位或穴位，通过药物或物理作用，以发挥促进气血调和、阴阳平衡等各类作用。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0A5B5E0">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716B1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81C44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7F2C1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947A4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67243A55">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055E1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0A1C1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7E8F1E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E910A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C78E5F7">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014100000010004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1D741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中药贴敷-儿童（加收）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06EBBC3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由医务人员使用贴敷制品敷贴于儿童体表特定部位或穴位，通过药物或物理作用，以发挥促进气血调和、阴阳平衡等各类作用。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5F9ACEC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427656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1E11A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13.5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DC0F6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12.2</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47A07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3E49ACEF">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DD46D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67945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56D82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F07BA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19B27BC">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014100000010100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DEF76C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中药贴敷-中药热奄包（扩展）</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0BF19EE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由医务人员使用中药热奄包敷贴于体表特定部位或穴位，通过药物或物理作用，以发挥促进气血调和、阴阳平衡等各类作用。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988CD9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所定价格涵盖确定穴位，局部清洁，贴敷材料准备（含掺药、封包、冷热处理等），应用药物贴敷，处理用物所需的人力资源和基本物质资源消耗，含设备投入及维护成本。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2D21FA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908A9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FED07A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40.5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D50E0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5669C59E">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8460B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3ED92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7C49EB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CBD3AC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7AC073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014100000010200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40506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中药贴敷-特殊材料贴敷（扩展）</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685E4D0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由医务人员使用特殊材料贴敷制品敷贴于体表特定部位或穴位，通过药物或物理作用，以发挥促进气血调和、阴阳平衡等各类作用。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C23DE1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所定价格涵盖确定穴位，局部清洁，贴敷材料准备（含掺药、封包、冷热处理等），应用药物贴敷，处理用物所需的人力资源和基本物质资源消耗，含设备投入及维护成本。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10673A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5B144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A1757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40.5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71310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D8F62D0">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4B09A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09105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4BD863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71ED7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D6D890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014100000020000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9BA4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中药吹粉</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730B2D7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由医务人员将中药研粉吹至病变部位，以发挥促进消肿止痛等各类作用。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0D1275A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所定价格涵盖局部清洁，调配药粉，吹粉，处理用物所需的人力资源和基本物质资源消耗，含设备投入及维护成本。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18D866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6D822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B87F0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18.9</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D7B73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16.8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B63F1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1DF96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4A15E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4028AF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527AF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70E1D38">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014100000020001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E9522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中药吹粉-儿童（加收）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0A22133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由医务人员将中药研粉吹至儿童病变部位，以发挥促进消肿止痛等各类作用。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0CE153E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4BF8DD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3725B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20773D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35062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725EEE9">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7184F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3BAAE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3B91F4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5EBCC5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50A0C88">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014100000030000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24664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中药烫熨</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2F2A1AF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由医务人员将调配药物加热后置于患者体表特定部位或穴位，进行移动敷熨，以发挥促进散寒止痛、消肿祛瘀等各类作用。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2BEE3BF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所定价格涵盖局部清洁，药物调配，移动敷熨，处理用物所需的人力资源和基本物质资源消耗，含设备投入及维护成本。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75F5DC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6F68A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42</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18E83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37.8</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8A0FA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33.6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318816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中药烫熨（特大）加收20%；6周岁以下儿童加收30%。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8A520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5FB7E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715BF1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54DF8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4C6F6A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014100000030001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02112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中药烫熨-中药烫熨（特大）（加收）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06E53DA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由医务人员将调配药物加热后置于患者体表特定部位或穴位，进行移动敷熨（特大），以发挥促进散寒止痛、消肿祛瘀等各类作用。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9ADF15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21B21E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885DA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8.4</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EFB4D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7.6</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CC2F6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6.7</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BE1A008">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0E455A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17B58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457DBD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CE6A7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6B2C6D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014100000030002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288D9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中药烫熨-儿童（加收）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774A677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由医务人员将调配药物加热后置于儿童患者体表特定部位或穴位，进行移动敷熨，以发挥促进散寒止痛、消肿祛瘀等各类作用。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7D8C0349">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334A526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4B9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12.6</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FC9D8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11.3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73537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10.1</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1907ACC">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479296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432B1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AB039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13</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C8AEE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F933047">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014100000040000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9AB8D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中药泡洗</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4BFF66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由医务人员协助或指导患者，行全身或局部体位浸泡或淋洗，完成中药泡洗，以发挥促进消肿、止痛、生肌等各类作用。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2B5059E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所定价格涵盖局部清洁，药物调配，协助或指导，监测生命体征，观察药液温度等处理用物所需的人力资源和基本物质资源消耗，含设备投入及维护成本。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4ECE13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61D90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DAAEC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E236F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40</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7D1090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6周岁以下儿童加收30%，每日限收费2次。</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06E7E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自费</w:t>
            </w:r>
          </w:p>
        </w:tc>
      </w:tr>
      <w:tr w14:paraId="42E59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51F87D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B2B10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133102B">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014100000040001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364D0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中药泡洗-儿童（加收）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2D07B4E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由医务人员协助或指导儿童患者，行全身或局部体位浸泡或淋洗，完成中药泡洗，以发挥促进消肿、止痛、生肌等各类作用。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BC3D19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676C17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D1671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33C31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13.5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803E4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4487B164">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1F7A0C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自费</w:t>
            </w:r>
          </w:p>
        </w:tc>
      </w:tr>
      <w:tr w14:paraId="6D3A3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5B0B24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34D54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0B3A60B">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014100000050000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F75FF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中药灌洗</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041CCAC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由医务人员将配制好的中药灌注并留置于人体腔道或窦道中，以发挥促进疏通散瘀、去腐生肌等各类作用。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66F5467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所定价格涵盖局部清洁消毒，药物调配，材料准备，处理用物所需的人力资源和基本物质资源消耗，含设备投入及维护成本。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603947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E43E2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279DE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69.3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09266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61.6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1DA51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4F0837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58317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022BCC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3A3C6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060000B">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014100000050001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3A771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中药灌洗-儿童（加收）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467488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由医务人员将配制好的中药灌注并留置于儿童患者腔道或窦道中，以发挥促进疏通散瘀、去腐生肌等各类作用。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5B12C719">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28F013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2A206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23.1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43598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20.8</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A69C8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18.5</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3969A3B1">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0EB8B0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63F54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1955D4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17</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489E1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A0060C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014100000060000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8EBBF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中药溻渍</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11FD355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由医务人员将调配药物通过敷料的形式调温后湿敷于患处，以发挥治疗和促进药物吸收等各类作用。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5351433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所定价格涵盖局部清洁，药物调配、蒸煮准备、溻渍治疗处理用物所需的人力资源和基本物质资源消耗，含设备投入及维护成本。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472436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3DFAB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4F156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42.3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19599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37.6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7BA6B3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中药溻渍（特大）加收20%；6周岁以下儿童加收30%。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DBBB1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37061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292CCC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18</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3B215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372C07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014100000060001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9C24D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中药溻渍-中药溻渍（特大）（加收）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00A3238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由医务人员将调配药物通过敷料的形式调温后湿敷于患处（特大），以发挥治疗和促进药物吸收等各类作用。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5080437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0724B4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EB937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9.4</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6DCAA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7B802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7.5</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563F01F">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6F3222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4D701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09D87B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19</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7BB61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CFD63D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014100000060002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FD584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中药溻渍-儿童（加收）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48E46B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由医务人员将调配药物通过敷料的形式调温后湿敷于儿童患处，以发挥治疗和促进药物吸收等各类作用。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0F87318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BE1A4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F928C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14.1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B406A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AA972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11.3</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B0030FD">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9ADAE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2CE1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1"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15CB94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20</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66523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0E544C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014100000070000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1E89D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中药涂擦</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E4540A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由医务人员将调配药物，制成水剂或膏剂或油剂等剂型的外用药物，直接涂擦于患者体表特定部位或穴位，以发挥促进活血化瘀、消炎止痛等各类作用。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2CE53EE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所定价格涵盖局部清洁，药物调配，各类手法涂擦，处理用物所需的人力资源和基本物质资源消耗，含设备投入及维护成本。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6B432C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AA98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3B095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DCDB9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761A78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中药涂擦（特大）加收20%；6周岁以下儿童加收30%。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6C9B74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4FE09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2CF744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21</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6C747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7073E7FE">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014100000070001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911EB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中药涂擦-中药涂擦（特大）（加收）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1F7938C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由医务人员将调配药物，制成水剂或膏剂或油剂等剂型的外用药物，直接涂擦于患者体表特定部位或穴位（特大），以发挥促进活血化瘀、消炎止痛等各类作用。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038B069">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037DB4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09547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98AA0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5.4</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898F4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1F100EAD">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7ACE0C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04EDD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50825A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22</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3D1D7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1550A12">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014100000070002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B2D85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中药涂擦-儿童（加收）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4FEFE7D0">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由医务人员将调配药物，制成水剂或膏剂或油剂等剂型的外用药物，直接涂擦于儿童患者体表特定部位或穴位，以发挥促进活血化瘀、消炎止痛等各类作用。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4A9E2B9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6BB0AB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2445D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290A3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B7090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FA14A53">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662A42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26BBB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11F3F9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23</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0A609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4306013E">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014100000080000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75876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中医熏洗</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6BFF28C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由医务人员选用制备好的药卷、药香或其他材料，点燃后直接用烟熏烤或蒸汽的形式，作用在患者身体某特定部位，以发挥疏通经络、促进药物吸收等各类作用。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2B3FD4E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所定价格涵盖局部清洁，药物调配，熏（蒸）药，处理用物所需的人力资源和基本物质资源消耗，含设备投入及维护成本。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701D0B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FBA90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FAD68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31.5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14FAB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478A34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6周岁以下儿童加收30%。每日限收费2次。</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F9446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乙类</w:t>
            </w:r>
          </w:p>
        </w:tc>
      </w:tr>
      <w:tr w14:paraId="35AFF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1"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3007FD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24</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DB290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76F36906">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014100000080001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D303C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中医熏洗-儿童（加收）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723AF7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由医务人员选用制备好的药卷、药香或其他材料，点燃后直接用烟熏烤或蒸汽的形式，作用在儿童患者身体某特定部位，以发挥疏通经络、促进药物吸收等各类作用。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536D70B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3D4D31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391D2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5F3E8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1F5C4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13632D66">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56C091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乙类</w:t>
            </w:r>
          </w:p>
        </w:tc>
      </w:tr>
      <w:tr w14:paraId="1044C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07CCA2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25</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BEEB8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08E1CF7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014100000090000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BD27D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中药腐蚀</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1D7C10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由医务人员选用具有一定腐蚀作用的药物，敷涂患处，以蚀去恶肉、赘生物、肿物等，实现局部病变祛除，促使新肉生长。</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41400C1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所定价格涵盖局部消毒，药物调配，腐蚀，包扎，处理用物所需的人力资源和基本物质资源消耗，含设备投入及维护成本。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2687E7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腐蚀位点/次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0B1ED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1EBF0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18</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FE08C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7A0EE3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6周岁以下儿童加收30%，（超过10个位点按10个位点计费）</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58F4F2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自费</w:t>
            </w:r>
          </w:p>
        </w:tc>
      </w:tr>
      <w:tr w14:paraId="6F51F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10FD31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26</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5105BB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44E2508E">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014100000090001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7655DF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中药腐蚀-儿童（加收）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2C8E228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由医务人员选用具有一定腐蚀作用的药物，敷涂儿童患处，以蚀去恶肉、赘生物、肿物等，实现局部病变祛除，促使新肉生长。</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62A70E7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1FC38C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腐蚀位点/次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074A9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C1B8F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5.4</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8FD2E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C839095">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74C513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自费</w:t>
            </w:r>
          </w:p>
        </w:tc>
      </w:tr>
      <w:tr w14:paraId="4D173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2C734F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27</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2D2B4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765D8CA1">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014100000100000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9A555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中药化腐清疮</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23424C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由医务人员将化腐药物敷施于疮面，达到去腐生肌，促进疮面愈合的作用。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C776E2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所定价格涵盖药物调配，局部消毒，皮肤表层创面清理、敷药、包扎，处理用物所需的人力资源和基本物质资源消耗，含设备投入及维护成本。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61712D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疮面/次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40189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CBEC8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42.3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26264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37.6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419A40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深层化腐清疮加收20%；6周岁以下儿童加收30%。（超过15个疮面按15个疮面计费）</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7042E3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12A3F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133E6B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28</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25E04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C90839E">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014100000100001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9DFE6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中药化腐清疮-深层化腐清疮（加收）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350CA0E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由医务人员将化腐药物敷施于深层疮面，达到去腐生肌，促进疮面愈合的作用。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1748C1E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097EBD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疮面/次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06E7C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9.4</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6AF69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AAF8E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7.5</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60DA7AAC">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7E7A3F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273EB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525D8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29</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0DDF7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3B2471F5">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014100000100002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96416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中药化腐清疮-儿童（加收）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9D5F2E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由医务人员将化腐药物敷施于儿童疮面，达到去腐生肌，促进疮面愈合的作用。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4CFAA039">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677F2E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疮面/次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5FA3D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14.1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40930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56D66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11.3</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1B53317E">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7B6CB1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0B927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375921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30</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6AE82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E11C84C">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014100000110000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6E13B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中医锐性清疮</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78EA2F4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由医务人员使用包括但不限于刀、剪、刮勺、钳等器械清除创面，发挥去腐生肌、促进疮面愈合的作用。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63CBE3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所定价格涵盖药物调配，局部消毒，皮肤表层创面清理、使用器械清疮、敷药、包扎，处理用物所需的人力资源和基本物质资源消耗，含设备投入及维护成本。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78CAFF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疮面/次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C4BCA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762FD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46F7B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40</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3A6F14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6周岁以下儿童加收30%。（超过15个疮面按15个疮面计费）</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103B00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自费</w:t>
            </w:r>
          </w:p>
        </w:tc>
      </w:tr>
      <w:tr w14:paraId="48FD7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056CAF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31</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E9DE6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939F188">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014100000110001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B14B5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中医锐性清疮-儿童（加收）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3D74BF4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由医务人员使用包括但不限于刀、剪、刮勺、钳等器械清除儿童患者创面，发挥去腐生肌、促进疮面愈合的作用。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70325B5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4C503A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疮面/次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05B35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F580D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13.5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ED060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6820E7B7">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E8E4F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自费</w:t>
            </w:r>
          </w:p>
        </w:tc>
      </w:tr>
      <w:tr w14:paraId="7F7F5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E5942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32</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D32E8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3BCD9FE">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014100000120000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AA5C0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中医窦道（切开）搔爬</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1E5ACEB9">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完成窦道（切开）搔爬，促进窦道闭合。</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75CD346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所定价格涵盖局部消毒，探查浅表窦道，必要时切开，搔爬，处理用物所需的人力资源和基本物质资源消耗，含设备投入及维护成本。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32CB7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每窦道/次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D162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110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923F4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99</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BFF16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10F645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深层搔爬加收80%；耳前窦道加收10%；6周岁以下儿童加收30%。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17FE29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1F890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0F462B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33</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81EC6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70DF435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014100000120001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BEE8A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中医窦道（切开）搔爬-深层搔爬（加收）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7A548F6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完成窦道（切开）深层搔爬，促进窦道闭合。</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0EC9BD5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994FB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每窦道/次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C7EC1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88</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FB810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79.2</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2D1D7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70.4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5DE80403">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1F346D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0EE73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A63A7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34</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57104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A8FC07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014100000120002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813A0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中医窦道（切开）搔爬-耳前窦道（加收）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1C88949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完成耳前窦道（切开）搔爬，促进窦道闭合。</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5325045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D4097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每窦道/次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51CFC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F0539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9.9</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321AB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7DE52D66">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6E157C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2163A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7AC5AC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35</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208B4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2D90CB9">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014100000120003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1949B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中医窦道（切开）搔爬-儿童（加收）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628F4CB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完成儿童患者的窦道（切开）搔爬，促进窦道闭合。</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4545448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1B9316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每窦道/次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B16D1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EFAAA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29.7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57FC9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26.4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4021AE85">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4C3AA7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7E7DC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C5357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5E6A9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3868906">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014100000130000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4E2D1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中医挑治</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265DA2E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由医务人员使用针具，在特定部位或穴位上刺入、挑拨，以发挥调理气血、疏通经络、解除瘀滞等各类作用。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2948988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所定价格涵盖确定部位，局部消毒，挑治，处理创口所需的人力资源和基本物质资源消耗，含设备投入及维护成本。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4DBFE4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挑治部位/次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66945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697D0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1947C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17A1161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6E644B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2BEC1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539AB4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37</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59AC7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14BA2FC6">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014100000130001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0A57B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中医挑治-儿童（加收）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4F13F9A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由医务人员使用针具，在儿童患者特定部位或穴位上刺入、挑拨，以发挥调理气血、疏通经络、解除瘀滞等各类作用。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E47F810">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1608B0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挑治部位/次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C7C22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9363A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8.1</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0F1F8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7D329B4E">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0C109A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41F6B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42FE2B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38</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E09DB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4A041287">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014100000140000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595EF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中医割治</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2DF4408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由医务人员选择部位或穴位，使用操作器具完成切割，以发挥促进经络疏通、毒邪外泄、缓解病痛等各类作用。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0F2FAA2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所定价格涵盖确定部位，局部消毒，切割、包扎创口、处理用物所需的人力资源和基本物质资源消耗，含设备投入及维护成本。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3398523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9351C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254AD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31.5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B2629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4D687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4F1A51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762B0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7D69A4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39</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8B0F2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1922ECA">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014100000140001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5BFCD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中医割治-儿童（加收）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5447A7D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由医务人员选择儿童患者的部位或穴位，使用操作器具完成切割，以发挥促进经络疏通、毒邪外泄、缓解病痛等各类作用。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1AE5145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3F68CB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C9EBB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C026C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9.5</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09A8E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8.4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CE3909A">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790C5A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7299B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5EF30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40</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9B3048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DA98078">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014100000150000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952DE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中医穴位放血治疗</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34A7144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由医务人员辨证使用器具刺（划）破特定穴位或部位，放出适量血液，以发挥促进活血祛瘀、排毒止痛等各类作用。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63730E7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所定价格涵盖使用各种工具，局部消毒，确定部位，放血，处理创口所需的人力资源和基本物质资源消耗，含设备投入及维护成本。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7B1A7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1976FF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60</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31A86F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54</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D432D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FFD8C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甲床放血加收10%；刺络加收20%；6周岁以下儿童加收30%。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53E0C3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270B3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7BCBF7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41</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A1027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76893F8C">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014100000150001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F90C9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中医穴位放血治疗-甲床放血（加收）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1DF5991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由医务人员辨证使用器具刺（划）破甲床，放出适量血液，以发挥促进活血祛瘀、排毒止痛等各类作用。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05327EF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0968CB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E876E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0E679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5.4</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33C1A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3278E586">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B7DEE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6CF51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D900A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42</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AD518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610BA1EF">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014100000150002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4B48D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中医穴位放血治疗-刺络放血（加收）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1964858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由医务人员辨证使用器具刺络，放出适量血液，以发挥促进活血祛瘀、排毒止痛等各类作用。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4B1CE80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35E47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74247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F7878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10.8</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3FB6A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9.6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651F630">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68B560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5C76A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ACCB7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43</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53A3E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4C83D02A">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014100000150003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BB319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中医穴位放血治疗-儿童（加收）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25307EBE">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由医务人员辨证使用器具刺（划）破儿童患者特定穴位或部位，放出适量血液，以发挥促进活血祛瘀、排毒止痛等各类作用。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2B40F94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0B1FD3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77BE2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18</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433334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16.2</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0508FD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14.4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E84E97B">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727748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4C8D6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6A806E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44</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579AE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4B8B9EEF">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014100000160000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40F02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中医药线引流</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3B9EAB7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由医务人员使用不同材料加药品制作成线状物，插入引流口中，达到祛腐引流，促进疮口愈合的作用。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76429E9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所定价格涵盖引流物制作、药物调配，局部消毒，疮口清理、放置引流物、必要时切开，局部包扎、处理用物所需的人力资源和基本物质资源消耗，含设备投入及维护成本。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EC0AC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每引流口/次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616A05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72</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C8F51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64.8</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DB18A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57.6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3B5C8B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15A538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759E5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51965D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8147E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38DA2BED">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014100000160001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954B7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中医药线引流-儿童（加收）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16364A30">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由医务人员使用不同材料加药品制作成线状物，插入儿童患者的引流口中，达到祛腐引流，促进疮口愈合的作用。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4EE0F61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27286C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每引流口/次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942B2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21.6</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027B18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19.4</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AD7F1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17.3</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5A53DA8">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3BD3B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1F37F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0C130F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46</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8FC22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75622CF">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014100000170000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4DB0C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中医刮痧</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0E9A053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由医务人员通过刮痧器具和相应的手法，在体表进行反复刮动、摩擦，从发挥促进活血透痧等各类作用。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36A03A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所定价格涵盖局部消毒，确定部位、刮拭、清洁，处理用物所需的人力资源和基本物质资源消耗，含设备投入及维护成本。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510958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287BF4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A3EA7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47.7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1A86A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42.4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EF313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22F377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08D31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0BCF65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47</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2B8D7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255770E8">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014100000170001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6879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中医刮痧-儿童（加收）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6BCE242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由医务人员通过刮痧器具和相应的手法，在儿童患者的体表进行反复刮动、摩擦，从发挥促进活血透痧等各类作用。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1D908D8E">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453154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4FCEB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15.9</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40615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14.3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594F90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12.7</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6B440897">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30E558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甲类</w:t>
            </w:r>
          </w:p>
        </w:tc>
      </w:tr>
      <w:tr w14:paraId="3A910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2964C6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48</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EA2B9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577CE6DC">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014100000180000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94FB1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砭石疗法</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3D96E52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由医务人员使用砭石等同类功能的器具，通过各类手法作用在人体各部位，以发挥促进疏通经络、活血理气等各类作用。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490A066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所定价格涵盖局部消毒，确定部位、运用点、压、揉、推、刮、擦等各类手法、清洁，处理用物所需的人力资源和基本物质资源消耗，含设备投入及维护成本。</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1CCE37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A3FCE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53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6CD8BF7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47.7</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32F9B5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42.4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FD486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6周岁以下儿童加收30%。</w:t>
            </w: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668A85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自费</w:t>
            </w:r>
          </w:p>
        </w:tc>
      </w:tr>
      <w:tr w14:paraId="7485D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5EB277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49</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5E886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治疗费</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14:paraId="367C85DE">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014100000180001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6784B3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砭石疗法-儿童（加收）</w:t>
            </w:r>
          </w:p>
        </w:tc>
        <w:tc>
          <w:tcPr>
            <w:tcW w:w="2887" w:type="dxa"/>
            <w:tcBorders>
              <w:top w:val="single" w:color="000000" w:sz="4" w:space="0"/>
              <w:left w:val="single" w:color="000000" w:sz="4" w:space="0"/>
              <w:bottom w:val="single" w:color="000000" w:sz="4" w:space="0"/>
              <w:right w:val="single" w:color="000000" w:sz="4" w:space="0"/>
            </w:tcBorders>
            <w:noWrap w:val="0"/>
            <w:vAlign w:val="center"/>
          </w:tcPr>
          <w:p w14:paraId="4609A9D0">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由医务人员使用砭石等同类功能的器具，通过各类手法作用在儿童患者的各部位，以发挥促进疏通经络、活血理气等各类作用。</w:t>
            </w:r>
          </w:p>
        </w:tc>
        <w:tc>
          <w:tcPr>
            <w:tcW w:w="2604" w:type="dxa"/>
            <w:tcBorders>
              <w:top w:val="single" w:color="000000" w:sz="4" w:space="0"/>
              <w:left w:val="single" w:color="000000" w:sz="4" w:space="0"/>
              <w:bottom w:val="single" w:color="000000" w:sz="4" w:space="0"/>
              <w:right w:val="single" w:color="000000" w:sz="4" w:space="0"/>
            </w:tcBorders>
            <w:noWrap w:val="0"/>
            <w:vAlign w:val="center"/>
          </w:tcPr>
          <w:p w14:paraId="3988967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 </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14:paraId="36BBCB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次</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1CECB9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15.9</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3A3F3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14.3</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14:paraId="7E6A77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12.7</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45C23355">
            <w:pPr>
              <w:jc w:val="cente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741" w:type="dxa"/>
            <w:gridSpan w:val="2"/>
            <w:tcBorders>
              <w:top w:val="single" w:color="000000" w:sz="4" w:space="0"/>
              <w:left w:val="single" w:color="000000" w:sz="4" w:space="0"/>
              <w:bottom w:val="single" w:color="000000" w:sz="4" w:space="0"/>
              <w:right w:val="single" w:color="000000" w:sz="4" w:space="0"/>
            </w:tcBorders>
            <w:noWrap w:val="0"/>
            <w:vAlign w:val="center"/>
          </w:tcPr>
          <w:p w14:paraId="53FC54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自费</w:t>
            </w:r>
          </w:p>
        </w:tc>
      </w:tr>
    </w:tbl>
    <w:p w14:paraId="739694D6">
      <w:pPr>
        <w:rPr>
          <w:rFonts w:hint="default"/>
          <w:lang w:val="en-US" w:eastAsia="zh-CN"/>
        </w:rPr>
      </w:pPr>
      <w:r>
        <w:rPr>
          <w:rFonts w:hint="default"/>
          <w:lang w:val="en-US" w:eastAsia="zh-CN"/>
        </w:rPr>
        <w:br w:type="page"/>
      </w:r>
    </w:p>
    <w:p w14:paraId="41A1B424">
      <w:pPr>
        <w:keepNext w:val="0"/>
        <w:keepLines w:val="0"/>
        <w:widowControl/>
        <w:suppressLineNumbers w:val="0"/>
        <w:jc w:val="left"/>
        <w:textAlignment w:val="center"/>
        <w:rPr>
          <w:rFonts w:hint="default"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US" w:eastAsia="zh-CN" w:bidi="ar"/>
        </w:rPr>
        <w:t>附件6</w:t>
      </w:r>
    </w:p>
    <w:p w14:paraId="259FCE85">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废止现行</w:t>
      </w:r>
      <w:r>
        <w:rPr>
          <w:rFonts w:hint="eastAsia" w:ascii="方正小标宋简体" w:hAnsi="黑体" w:eastAsia="方正小标宋简体" w:cs="仿宋_GB2312"/>
          <w:color w:val="auto"/>
          <w:sz w:val="44"/>
          <w:szCs w:val="44"/>
          <w:lang w:val="en-US" w:eastAsia="zh-CN"/>
        </w:rPr>
        <w:t>27</w:t>
      </w:r>
      <w:r>
        <w:rPr>
          <w:rFonts w:hint="eastAsia" w:ascii="方正小标宋简体" w:hAnsi="黑体" w:eastAsia="方正小标宋简体" w:cs="仿宋_GB2312"/>
          <w:color w:val="auto"/>
          <w:sz w:val="44"/>
          <w:szCs w:val="44"/>
        </w:rPr>
        <w:t>个</w:t>
      </w:r>
      <w:r>
        <w:rPr>
          <w:rFonts w:hint="eastAsia" w:ascii="方正小标宋简体" w:hAnsi="黑体" w:eastAsia="方正小标宋简体" w:cs="仿宋_GB2312"/>
          <w:color w:val="auto"/>
          <w:sz w:val="44"/>
          <w:szCs w:val="44"/>
          <w:lang w:val="en-US" w:eastAsia="zh-CN"/>
        </w:rPr>
        <w:t>中医外治</w:t>
      </w:r>
      <w:r>
        <w:rPr>
          <w:rFonts w:hint="eastAsia" w:ascii="方正小标宋简体" w:hAnsi="黑体" w:eastAsia="方正小标宋简体" w:cs="仿宋_GB2312"/>
          <w:color w:val="auto"/>
          <w:sz w:val="44"/>
          <w:szCs w:val="44"/>
        </w:rPr>
        <w:t>类医疗服务价格项目表</w:t>
      </w:r>
    </w:p>
    <w:tbl>
      <w:tblPr>
        <w:tblStyle w:val="1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6"/>
        <w:gridCol w:w="1416"/>
        <w:gridCol w:w="2290"/>
        <w:gridCol w:w="6118"/>
        <w:gridCol w:w="1304"/>
        <w:gridCol w:w="1084"/>
        <w:gridCol w:w="1958"/>
      </w:tblGrid>
      <w:tr w14:paraId="49B7B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blHeader/>
        </w:trPr>
        <w:tc>
          <w:tcPr>
            <w:tcW w:w="0" w:type="auto"/>
            <w:tcBorders>
              <w:top w:val="single" w:color="000000" w:sz="4" w:space="0"/>
              <w:left w:val="single" w:color="000000" w:sz="4" w:space="0"/>
              <w:bottom w:val="single" w:color="000000" w:sz="4" w:space="0"/>
              <w:right w:val="single" w:color="000000" w:sz="4" w:space="0"/>
            </w:tcBorders>
            <w:noWrap/>
            <w:vAlign w:val="center"/>
          </w:tcPr>
          <w:p w14:paraId="03E66C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color w:val="auto"/>
                <w:sz w:val="20"/>
                <w:szCs w:val="20"/>
                <w:u w:val="none"/>
              </w:rPr>
            </w:pPr>
            <w:r>
              <w:rPr>
                <w:rFonts w:hint="eastAsia" w:ascii="黑体" w:hAnsi="黑体" w:eastAsia="黑体" w:cs="黑体"/>
                <w:b w:val="0"/>
                <w:bCs w:val="0"/>
                <w:i w:val="0"/>
                <w:color w:val="auto"/>
                <w:kern w:val="0"/>
                <w:sz w:val="20"/>
                <w:szCs w:val="20"/>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ADE3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kern w:val="0"/>
                <w:sz w:val="20"/>
                <w:szCs w:val="20"/>
                <w:u w:val="none"/>
                <w:lang w:val="en-US" w:eastAsia="zh-CN" w:bidi="ar"/>
              </w:rPr>
            </w:pPr>
            <w:r>
              <w:rPr>
                <w:rFonts w:hint="eastAsia" w:ascii="黑体" w:hAnsi="黑体" w:eastAsia="黑体" w:cs="黑体"/>
                <w:b w:val="0"/>
                <w:bCs w:val="0"/>
                <w:i w:val="0"/>
                <w:iCs w:val="0"/>
                <w:color w:val="auto"/>
                <w:kern w:val="0"/>
                <w:sz w:val="20"/>
                <w:szCs w:val="20"/>
                <w:u w:val="none"/>
                <w:lang w:val="en-US" w:eastAsia="zh-CN" w:bidi="ar"/>
              </w:rPr>
              <w:t>江西省医疗</w:t>
            </w:r>
          </w:p>
          <w:p w14:paraId="3E7056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服务项目编码</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7D828A">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黑体" w:hAnsi="黑体" w:eastAsia="黑体" w:cs="黑体"/>
                <w:b w:val="0"/>
                <w:bCs w:val="0"/>
                <w:i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江西省医疗服务项目名称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1FAA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color w:val="auto"/>
                <w:sz w:val="20"/>
                <w:szCs w:val="20"/>
                <w:u w:val="none"/>
              </w:rPr>
            </w:pPr>
            <w:r>
              <w:rPr>
                <w:rFonts w:hint="eastAsia" w:ascii="黑体" w:hAnsi="黑体" w:eastAsia="黑体" w:cs="黑体"/>
                <w:b w:val="0"/>
                <w:bCs w:val="0"/>
                <w:i w:val="0"/>
                <w:color w:val="auto"/>
                <w:kern w:val="0"/>
                <w:sz w:val="20"/>
                <w:szCs w:val="20"/>
                <w:u w:val="none"/>
                <w:lang w:val="en-US" w:eastAsia="zh-CN" w:bidi="ar"/>
              </w:rPr>
              <w:t>项目内涵</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DB04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color w:val="auto"/>
                <w:sz w:val="20"/>
                <w:szCs w:val="20"/>
                <w:u w:val="none"/>
              </w:rPr>
            </w:pPr>
            <w:r>
              <w:rPr>
                <w:rFonts w:hint="eastAsia" w:ascii="黑体" w:hAnsi="黑体" w:eastAsia="黑体" w:cs="黑体"/>
                <w:b w:val="0"/>
                <w:bCs w:val="0"/>
                <w:i w:val="0"/>
                <w:color w:val="auto"/>
                <w:kern w:val="0"/>
                <w:sz w:val="20"/>
                <w:szCs w:val="20"/>
                <w:u w:val="none"/>
                <w:lang w:val="en-US" w:eastAsia="zh-CN" w:bidi="ar"/>
              </w:rPr>
              <w:t>除外内容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B6C6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color w:val="auto"/>
                <w:sz w:val="20"/>
                <w:szCs w:val="20"/>
                <w:u w:val="none"/>
              </w:rPr>
            </w:pPr>
            <w:r>
              <w:rPr>
                <w:rFonts w:hint="eastAsia" w:ascii="黑体" w:hAnsi="黑体" w:eastAsia="黑体" w:cs="黑体"/>
                <w:b w:val="0"/>
                <w:bCs w:val="0"/>
                <w:i w:val="0"/>
                <w:color w:val="auto"/>
                <w:kern w:val="0"/>
                <w:sz w:val="20"/>
                <w:szCs w:val="20"/>
                <w:u w:val="none"/>
                <w:lang w:val="en-US" w:eastAsia="zh-CN" w:bidi="ar"/>
              </w:rPr>
              <w:t>计价单位</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9EF81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color w:val="auto"/>
                <w:sz w:val="20"/>
                <w:szCs w:val="20"/>
                <w:u w:val="none"/>
              </w:rPr>
            </w:pPr>
            <w:r>
              <w:rPr>
                <w:rFonts w:hint="eastAsia" w:ascii="黑体" w:hAnsi="黑体" w:eastAsia="黑体" w:cs="黑体"/>
                <w:b w:val="0"/>
                <w:bCs w:val="0"/>
                <w:i w:val="0"/>
                <w:color w:val="auto"/>
                <w:kern w:val="0"/>
                <w:sz w:val="20"/>
                <w:szCs w:val="20"/>
                <w:u w:val="none"/>
                <w:lang w:val="en-US" w:eastAsia="zh-CN" w:bidi="ar"/>
              </w:rPr>
              <w:t>计价说明</w:t>
            </w:r>
          </w:p>
        </w:tc>
      </w:tr>
      <w:tr w14:paraId="62CA8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5FA53A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64420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E4600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贴敷疗法</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F12E2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E964D1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CBA30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每个创面</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A45A288">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640DA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09943E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9FAF4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8FC3F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中药化腐清创术</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6BF82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AA9345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637E8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每个创面</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E7EE3F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57DA0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2A9526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02A59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C1229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中药涂擦治疗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AB50E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A1E74B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3D2E3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10%体表面积</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7D38FC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大于全身体表面积10%加收10.5元。</w:t>
            </w:r>
          </w:p>
        </w:tc>
      </w:tr>
      <w:tr w14:paraId="51594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373D26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64ED6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4D17C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中药热奄包治疗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CC170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EF5041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9E721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每个部位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6EAC124">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569D8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408F2B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5</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579892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410000005</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7E195A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中药封包治疗</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774EF4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3DDE41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药物</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28ED60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每个部位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510B6E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特大是指面积＞15cm×15cm。</w:t>
            </w:r>
          </w:p>
        </w:tc>
      </w:tr>
      <w:tr w14:paraId="046E8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337C72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071618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5D03449">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36FEEB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2DCF7D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EA699A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974C8E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大是指面积＞10cm×10cm≦15cm×15cm。</w:t>
            </w:r>
          </w:p>
        </w:tc>
      </w:tr>
      <w:tr w14:paraId="19462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501628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3730EE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38F670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D14614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FA9A84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1987CFE">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3F12D4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中是指面积＞5cm×5cm≦10cm×10cm。</w:t>
            </w:r>
          </w:p>
        </w:tc>
      </w:tr>
      <w:tr w14:paraId="2567E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132B35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CC5DD1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6B79BA6">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2D8F11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716AE05">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1F4391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893CD5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小是指面积≦5cm×5cm。</w:t>
            </w:r>
          </w:p>
        </w:tc>
      </w:tr>
      <w:tr w14:paraId="721CB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493524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6</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71C994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410000006</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7415E1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中药熏洗治疗</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48CC03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vMerge w:val="restart"/>
            <w:tcBorders>
              <w:top w:val="single" w:color="000000" w:sz="4" w:space="0"/>
              <w:left w:val="single" w:color="000000" w:sz="4" w:space="0"/>
              <w:bottom w:val="single" w:color="000000" w:sz="4" w:space="0"/>
              <w:right w:val="single" w:color="000000" w:sz="4" w:space="0"/>
            </w:tcBorders>
            <w:noWrap w:val="0"/>
            <w:vAlign w:val="center"/>
          </w:tcPr>
          <w:p w14:paraId="04ADFEC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B0EC6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局部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5D4BA5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机器熏洗。</w:t>
            </w:r>
          </w:p>
        </w:tc>
      </w:tr>
      <w:tr w14:paraId="3EA5C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2326520">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DB8D72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BACED6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EE8ED8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0431E6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FA18A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半身</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4E9F7E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机器熏洗。</w:t>
            </w:r>
          </w:p>
        </w:tc>
      </w:tr>
      <w:tr w14:paraId="7512D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60FFB4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1B26FB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3506D6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5C197B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3611D7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443D5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全身</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4AD0C9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机器熏洗。</w:t>
            </w:r>
          </w:p>
        </w:tc>
      </w:tr>
      <w:tr w14:paraId="727FD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262CB9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06EC0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875F1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中药蒸汽浴治疗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8FA7B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322058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D25AE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B3628C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每次30分钟。</w:t>
            </w:r>
          </w:p>
        </w:tc>
      </w:tr>
      <w:tr w14:paraId="3DE9A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74333D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6403C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6F725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中药塌渍治疗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08672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2120F63">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B8BFC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10%体表面积</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BFD09B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大于全身体表面积10%加收10元。</w:t>
            </w:r>
          </w:p>
        </w:tc>
      </w:tr>
      <w:tr w14:paraId="77609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5DF9C7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8E73F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410000009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63E5D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中药熏药治疗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D4898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ABAA3F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8A788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9BD9EA9">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4F576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6FC0F7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76C59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410000010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80923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赘生物中药腐蚀治疗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B0901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D857E4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F4A78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每个赘生物</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16BFDD0">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251F0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35D2AE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99282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410000011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5CB26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挑治</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E7D08AA">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959115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FDA57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A66BA03">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3E51D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33CE0B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58867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410000012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398A5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割治</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A549BC4">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612BAD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59640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4A0245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4E12C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72BDDC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0A179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410000013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E1C17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甲床放血治疗术</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6BC88D8">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7E5604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EF73F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每甲</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AF1F73E">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37421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5E29C4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7C554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420000013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778AD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中医定向透药疗法</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69727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含仪器使用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F6AC0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药物</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2F99D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部位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76F9F00">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7ED16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79ABC3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DF142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430000021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2F625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放血疗法</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296A8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包括穴位放血、静脉放血</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2FE4081">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78F7E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每个穴位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6F9037C">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65455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4125BD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744DA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430000023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721B2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穴位贴敷治疗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1A80B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包括药物调配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1A01B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药物</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F3B9D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每个穴位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C83F35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41EAA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5ACBF8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DAFAD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460000012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37CDE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结肠水疗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6119D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包括结肠灌洗治疗和肠腔内给药</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B7CA514">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药物、一次性结肠透析管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FF2B5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B367932">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59118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434004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E981E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470000008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224B2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药线引流治疗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E6231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22A7B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药物</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58FC9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3公分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BF40FDF">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21B90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7E7012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5388B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470000009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10D12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耳咽中药吹粉治疗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C7F17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B00C0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药物</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CB9A4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E35D5B9">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29D9A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2F134F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6C8D4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470000010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FEAA1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中药硬膏热贴敷治疗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4E587DD">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BC818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药物</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96CD8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D655117">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1900D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3FC55A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7CEB8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470000011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66D6C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中药直肠滴入治疗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9122E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含药物调配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831F7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药物</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9EB5B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146C0E3">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42563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7F0EE5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C386F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470000012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E0E71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刮痧治疗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7BA2A4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E08BF1C">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184E0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每个部位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18A458A">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598D3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037B35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65186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470000013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D642A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烫熨治疗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2549242">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827C177">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99880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每个部位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F69ED89">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08F74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6A1B51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1E06D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470000015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05311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体表瘘管切开搔爬术</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23A88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包括耳前瘘管、乳腺瘘管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4C555A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CE983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EADC7E0">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51C2D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399581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B3CC2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470000018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930F0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坤土益肾健脾法</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67F47B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医者根据患者病情，辩证论治，确定具体外敷部位[腹部或者腰背部]，选用相应中药。使用前把坤土与中药混合烘干、炒热，外包，由医者在确定外敷部分实施。过程中，密切注意外敷包温度，按腹部或腰背部经络循行方向，按压外敷包，与患者交流，了解患者感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177681F">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27076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6782DFD">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6595F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62DC8A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2E887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470000020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3F5FF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小儿脐疗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4F47DA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把药物直接敷贴或用艾灸、热敷等方法施治于患者小儿脐部，激发经络之气，疏通气血，调理脏腑，用以预防和治疗疾病的一种外治疗法</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1FA4605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F7E1A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63082461">
            <w:pPr>
              <w:keepNext w:val="0"/>
              <w:keepLines w:val="0"/>
              <w:pageBreakBefore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i w:val="0"/>
                <w:color w:val="auto"/>
                <w:sz w:val="20"/>
                <w:szCs w:val="20"/>
                <w:u w:val="none"/>
              </w:rPr>
            </w:pPr>
          </w:p>
        </w:tc>
      </w:tr>
      <w:tr w14:paraId="11246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2FE73A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56B4E4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470000021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21501E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热炙疏络通乳治疗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B4563F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硫酸镁热敷10-15分钟，打奶器吸奶10分钟，个性化选择深部热疗或热灸等物理治疗，手法按摩疏通积乳40-60分钟，生理盐水湿敷10分钟</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00B64D5B">
            <w:pPr>
              <w:keepNext w:val="0"/>
              <w:keepLines w:val="0"/>
              <w:pageBreakBefore w:val="0"/>
              <w:kinsoku/>
              <w:wordWrap/>
              <w:overflowPunct/>
              <w:topLinePunct w:val="0"/>
              <w:autoSpaceDE/>
              <w:autoSpaceDN/>
              <w:bidi w:val="0"/>
              <w:adjustRightInd/>
              <w:snapToGrid/>
              <w:spacing w:line="280" w:lineRule="exact"/>
              <w:jc w:val="center"/>
              <w:rPr>
                <w:rFonts w:hint="eastAsia" w:asciiTheme="minorEastAsia" w:hAnsiTheme="minorEastAsia" w:eastAsiaTheme="minorEastAsia" w:cstheme="minorEastAsia"/>
                <w:i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4DE7D3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color w:val="auto"/>
                <w:sz w:val="20"/>
                <w:szCs w:val="20"/>
                <w:u w:val="none"/>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4AF405">
            <w:pPr>
              <w:keepNext w:val="0"/>
              <w:keepLines w:val="0"/>
              <w:pageBreakBefore w:val="0"/>
              <w:kinsoku/>
              <w:wordWrap/>
              <w:overflowPunct/>
              <w:topLinePunct w:val="0"/>
              <w:autoSpaceDE/>
              <w:autoSpaceDN/>
              <w:bidi w:val="0"/>
              <w:adjustRightInd/>
              <w:snapToGrid/>
              <w:spacing w:line="280" w:lineRule="exact"/>
              <w:rPr>
                <w:rFonts w:hint="eastAsia" w:asciiTheme="minorEastAsia" w:hAnsiTheme="minorEastAsia" w:eastAsiaTheme="minorEastAsia" w:cstheme="minorEastAsia"/>
                <w:i w:val="0"/>
                <w:color w:val="auto"/>
                <w:sz w:val="20"/>
                <w:szCs w:val="20"/>
                <w:u w:val="none"/>
              </w:rPr>
            </w:pPr>
          </w:p>
        </w:tc>
      </w:tr>
    </w:tbl>
    <w:p w14:paraId="381113A9">
      <w:pPr>
        <w:rPr>
          <w:rFonts w:hint="eastAsia"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US" w:eastAsia="zh-CN" w:bidi="ar"/>
        </w:rPr>
        <w:br w:type="page"/>
      </w:r>
    </w:p>
    <w:p w14:paraId="647FBC24">
      <w:pPr>
        <w:keepNext w:val="0"/>
        <w:keepLines w:val="0"/>
        <w:widowControl/>
        <w:suppressLineNumbers w:val="0"/>
        <w:jc w:val="left"/>
        <w:textAlignment w:val="center"/>
        <w:rPr>
          <w:rFonts w:hint="eastAsia" w:ascii="方正小标宋简体" w:hAnsi="黑体" w:eastAsia="方正小标宋简体" w:cs="仿宋_GB2312"/>
          <w:color w:val="auto"/>
          <w:sz w:val="44"/>
          <w:szCs w:val="44"/>
          <w:lang w:eastAsia="zh-CN"/>
        </w:rPr>
      </w:pPr>
      <w:r>
        <w:rPr>
          <w:rFonts w:hint="eastAsia" w:ascii="黑体" w:hAnsi="宋体" w:eastAsia="黑体" w:cs="黑体"/>
          <w:i w:val="0"/>
          <w:color w:val="auto"/>
          <w:kern w:val="0"/>
          <w:sz w:val="32"/>
          <w:szCs w:val="32"/>
          <w:u w:val="none"/>
          <w:lang w:val="en-US" w:eastAsia="zh-CN" w:bidi="ar"/>
        </w:rPr>
        <w:t>附件7</w:t>
      </w:r>
    </w:p>
    <w:p w14:paraId="31490246">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lang w:eastAsia="zh-CN"/>
        </w:rPr>
        <w:t>设立航空医疗转运</w:t>
      </w:r>
      <w:r>
        <w:rPr>
          <w:rFonts w:hint="eastAsia" w:ascii="方正小标宋简体" w:hAnsi="黑体" w:eastAsia="方正小标宋简体" w:cs="仿宋_GB2312"/>
          <w:color w:val="auto"/>
          <w:sz w:val="44"/>
          <w:szCs w:val="44"/>
        </w:rPr>
        <w:t>医疗服务价格项目表</w:t>
      </w:r>
    </w:p>
    <w:tbl>
      <w:tblPr>
        <w:tblStyle w:val="10"/>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842"/>
        <w:gridCol w:w="1546"/>
        <w:gridCol w:w="3329"/>
        <w:gridCol w:w="3485"/>
        <w:gridCol w:w="766"/>
        <w:gridCol w:w="2381"/>
        <w:gridCol w:w="975"/>
      </w:tblGrid>
      <w:tr w14:paraId="7DBD8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153" w:type="pct"/>
            <w:tcBorders>
              <w:top w:val="single" w:color="000000" w:sz="4" w:space="0"/>
              <w:left w:val="single" w:color="000000" w:sz="4" w:space="0"/>
              <w:bottom w:val="single" w:color="000000" w:sz="4" w:space="0"/>
              <w:right w:val="single" w:color="000000" w:sz="4" w:space="0"/>
            </w:tcBorders>
            <w:noWrap w:val="0"/>
            <w:vAlign w:val="center"/>
          </w:tcPr>
          <w:p w14:paraId="571E0884">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序号</w:t>
            </w:r>
          </w:p>
        </w:tc>
        <w:tc>
          <w:tcPr>
            <w:tcW w:w="623" w:type="pct"/>
            <w:tcBorders>
              <w:top w:val="single" w:color="000000" w:sz="4" w:space="0"/>
              <w:left w:val="single" w:color="000000" w:sz="4" w:space="0"/>
              <w:bottom w:val="single" w:color="000000" w:sz="4" w:space="0"/>
              <w:right w:val="single" w:color="000000" w:sz="4" w:space="0"/>
            </w:tcBorders>
            <w:noWrap w:val="0"/>
            <w:vAlign w:val="center"/>
          </w:tcPr>
          <w:p w14:paraId="039D98A2">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项目代码</w:t>
            </w:r>
          </w:p>
        </w:tc>
        <w:tc>
          <w:tcPr>
            <w:tcW w:w="523" w:type="pct"/>
            <w:tcBorders>
              <w:top w:val="single" w:color="000000" w:sz="4" w:space="0"/>
              <w:left w:val="single" w:color="000000" w:sz="4" w:space="0"/>
              <w:bottom w:val="single" w:color="000000" w:sz="4" w:space="0"/>
              <w:right w:val="single" w:color="000000" w:sz="4" w:space="0"/>
            </w:tcBorders>
            <w:noWrap w:val="0"/>
            <w:vAlign w:val="center"/>
          </w:tcPr>
          <w:p w14:paraId="2AFD2D98">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项目名称</w:t>
            </w:r>
          </w:p>
        </w:tc>
        <w:tc>
          <w:tcPr>
            <w:tcW w:w="1126" w:type="pct"/>
            <w:tcBorders>
              <w:top w:val="single" w:color="000000" w:sz="4" w:space="0"/>
              <w:left w:val="single" w:color="000000" w:sz="4" w:space="0"/>
              <w:bottom w:val="single" w:color="000000" w:sz="4" w:space="0"/>
              <w:right w:val="single" w:color="000000" w:sz="4" w:space="0"/>
            </w:tcBorders>
            <w:noWrap w:val="0"/>
            <w:vAlign w:val="center"/>
          </w:tcPr>
          <w:p w14:paraId="3B31B986">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服务产出</w:t>
            </w:r>
          </w:p>
        </w:tc>
        <w:tc>
          <w:tcPr>
            <w:tcW w:w="1179" w:type="pct"/>
            <w:tcBorders>
              <w:top w:val="single" w:color="000000" w:sz="4" w:space="0"/>
              <w:left w:val="single" w:color="000000" w:sz="4" w:space="0"/>
              <w:bottom w:val="single" w:color="000000" w:sz="4" w:space="0"/>
              <w:right w:val="single" w:color="000000" w:sz="4" w:space="0"/>
            </w:tcBorders>
            <w:noWrap w:val="0"/>
            <w:vAlign w:val="center"/>
          </w:tcPr>
          <w:p w14:paraId="67CEDA44">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价格构成</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14:paraId="3DB08274">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计价单位</w:t>
            </w:r>
          </w:p>
        </w:tc>
        <w:tc>
          <w:tcPr>
            <w:tcW w:w="805" w:type="pct"/>
            <w:tcBorders>
              <w:top w:val="single" w:color="000000" w:sz="4" w:space="0"/>
              <w:left w:val="single" w:color="000000" w:sz="4" w:space="0"/>
              <w:bottom w:val="single" w:color="000000" w:sz="4" w:space="0"/>
              <w:right w:val="single" w:color="000000" w:sz="4" w:space="0"/>
            </w:tcBorders>
            <w:noWrap w:val="0"/>
            <w:vAlign w:val="center"/>
          </w:tcPr>
          <w:p w14:paraId="7F1FA962">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计价说明</w:t>
            </w:r>
          </w:p>
        </w:tc>
        <w:tc>
          <w:tcPr>
            <w:tcW w:w="329" w:type="pct"/>
            <w:tcBorders>
              <w:top w:val="single" w:color="000000" w:sz="4" w:space="0"/>
              <w:left w:val="single" w:color="000000" w:sz="4" w:space="0"/>
              <w:bottom w:val="single" w:color="000000" w:sz="4" w:space="0"/>
              <w:right w:val="single" w:color="000000" w:sz="4" w:space="0"/>
            </w:tcBorders>
            <w:noWrap w:val="0"/>
            <w:vAlign w:val="center"/>
          </w:tcPr>
          <w:p w14:paraId="603D8108">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黑体" w:eastAsia="黑体" w:cs="黑体"/>
                <w:color w:val="auto"/>
                <w:kern w:val="0"/>
                <w:sz w:val="20"/>
                <w:szCs w:val="20"/>
                <w:vertAlign w:val="baseline"/>
                <w:lang w:val="en-US" w:eastAsia="zh-CN"/>
              </w:rPr>
              <w:t>医保支付类别</w:t>
            </w:r>
          </w:p>
        </w:tc>
      </w:tr>
      <w:tr w14:paraId="5DD21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0" w:hRule="atLeast"/>
          <w:tblHeader/>
          <w:jc w:val="center"/>
        </w:trPr>
        <w:tc>
          <w:tcPr>
            <w:tcW w:w="153" w:type="pct"/>
            <w:tcBorders>
              <w:top w:val="single" w:color="000000" w:sz="4" w:space="0"/>
              <w:left w:val="single" w:color="000000" w:sz="4" w:space="0"/>
              <w:bottom w:val="single" w:color="000000" w:sz="4" w:space="0"/>
              <w:right w:val="single" w:color="000000" w:sz="4" w:space="0"/>
            </w:tcBorders>
            <w:noWrap w:val="0"/>
            <w:vAlign w:val="center"/>
          </w:tcPr>
          <w:p w14:paraId="7D8283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i w:val="0"/>
                <w:color w:val="auto"/>
                <w:kern w:val="0"/>
                <w:sz w:val="20"/>
                <w:szCs w:val="20"/>
                <w:u w:val="none"/>
                <w:lang w:val="en-US" w:eastAsia="zh-CN" w:bidi="ar"/>
              </w:rPr>
            </w:pPr>
            <w:r>
              <w:rPr>
                <w:rFonts w:hint="eastAsia" w:asciiTheme="minorEastAsia" w:hAnsiTheme="minorEastAsia" w:eastAsiaTheme="minorEastAsia" w:cstheme="minorEastAsia"/>
                <w:i w:val="0"/>
                <w:color w:val="auto"/>
                <w:kern w:val="0"/>
                <w:sz w:val="20"/>
                <w:szCs w:val="20"/>
                <w:u w:val="none"/>
                <w:lang w:val="en-US" w:eastAsia="zh-CN" w:bidi="ar"/>
              </w:rPr>
              <w:t>1</w:t>
            </w:r>
          </w:p>
        </w:tc>
        <w:tc>
          <w:tcPr>
            <w:tcW w:w="623" w:type="pct"/>
            <w:tcBorders>
              <w:top w:val="single" w:color="000000" w:sz="4" w:space="0"/>
              <w:left w:val="single" w:color="000000" w:sz="4" w:space="0"/>
              <w:bottom w:val="single" w:color="000000" w:sz="4" w:space="0"/>
              <w:right w:val="single" w:color="000000" w:sz="4" w:space="0"/>
            </w:tcBorders>
            <w:noWrap w:val="0"/>
            <w:vAlign w:val="center"/>
          </w:tcPr>
          <w:p w14:paraId="08425E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i w:val="0"/>
                <w:color w:val="auto"/>
                <w:kern w:val="0"/>
                <w:sz w:val="20"/>
                <w:szCs w:val="20"/>
                <w:u w:val="none"/>
                <w:lang w:val="en-US" w:eastAsia="zh-CN" w:bidi="ar"/>
              </w:rPr>
            </w:pPr>
            <w:r>
              <w:rPr>
                <w:rFonts w:hint="eastAsia" w:asciiTheme="minorEastAsia" w:hAnsiTheme="minorEastAsia" w:eastAsiaTheme="minorEastAsia" w:cstheme="minorEastAsia"/>
                <w:i w:val="0"/>
                <w:color w:val="auto"/>
                <w:kern w:val="0"/>
                <w:sz w:val="20"/>
                <w:szCs w:val="20"/>
                <w:u w:val="none"/>
                <w:lang w:val="en-US" w:eastAsia="zh-CN" w:bidi="ar"/>
              </w:rPr>
              <w:t>011109000030000</w:t>
            </w:r>
          </w:p>
        </w:tc>
        <w:tc>
          <w:tcPr>
            <w:tcW w:w="523" w:type="pct"/>
            <w:tcBorders>
              <w:top w:val="single" w:color="000000" w:sz="4" w:space="0"/>
              <w:left w:val="single" w:color="000000" w:sz="4" w:space="0"/>
              <w:bottom w:val="single" w:color="000000" w:sz="4" w:space="0"/>
              <w:right w:val="single" w:color="000000" w:sz="4" w:space="0"/>
            </w:tcBorders>
            <w:noWrap w:val="0"/>
            <w:vAlign w:val="center"/>
          </w:tcPr>
          <w:p w14:paraId="7F72FE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i w:val="0"/>
                <w:color w:val="auto"/>
                <w:kern w:val="0"/>
                <w:sz w:val="20"/>
                <w:szCs w:val="20"/>
                <w:u w:val="none"/>
                <w:lang w:val="en-US" w:eastAsia="zh-CN" w:bidi="ar"/>
              </w:rPr>
            </w:pPr>
            <w:r>
              <w:rPr>
                <w:rFonts w:hint="eastAsia" w:asciiTheme="minorEastAsia" w:hAnsiTheme="minorEastAsia" w:eastAsiaTheme="minorEastAsia" w:cstheme="minorEastAsia"/>
                <w:i w:val="0"/>
                <w:color w:val="auto"/>
                <w:kern w:val="0"/>
                <w:sz w:val="20"/>
                <w:szCs w:val="20"/>
                <w:u w:val="none"/>
                <w:lang w:val="en-US" w:eastAsia="zh-CN" w:bidi="ar"/>
              </w:rPr>
              <w:t>航空医疗转运</w:t>
            </w:r>
          </w:p>
        </w:tc>
        <w:tc>
          <w:tcPr>
            <w:tcW w:w="1126" w:type="pct"/>
            <w:tcBorders>
              <w:top w:val="single" w:color="000000" w:sz="4" w:space="0"/>
              <w:left w:val="single" w:color="000000" w:sz="4" w:space="0"/>
              <w:bottom w:val="single" w:color="000000" w:sz="4" w:space="0"/>
              <w:right w:val="single" w:color="000000" w:sz="4" w:space="0"/>
            </w:tcBorders>
            <w:noWrap w:val="0"/>
            <w:vAlign w:val="center"/>
          </w:tcPr>
          <w:p w14:paraId="06B3A63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Theme="minorEastAsia" w:hAnsiTheme="minorEastAsia" w:eastAsiaTheme="minorEastAsia" w:cstheme="minorEastAsia"/>
                <w:i w:val="0"/>
                <w:color w:val="auto"/>
                <w:kern w:val="0"/>
                <w:sz w:val="20"/>
                <w:szCs w:val="20"/>
                <w:u w:val="none"/>
                <w:lang w:val="en-US" w:eastAsia="zh-CN" w:bidi="ar"/>
              </w:rPr>
            </w:pPr>
            <w:r>
              <w:rPr>
                <w:rFonts w:hint="eastAsia" w:asciiTheme="minorEastAsia" w:hAnsiTheme="minorEastAsia" w:eastAsiaTheme="minorEastAsia" w:cstheme="minorEastAsia"/>
                <w:i w:val="0"/>
                <w:color w:val="auto"/>
                <w:kern w:val="0"/>
                <w:sz w:val="20"/>
                <w:szCs w:val="20"/>
                <w:u w:val="none"/>
                <w:lang w:val="en-US" w:eastAsia="zh-CN" w:bidi="ar"/>
              </w:rPr>
              <w:t>指医疗机构（含120急救中心）利用各类航空器转运患者的使用费用。</w:t>
            </w:r>
          </w:p>
        </w:tc>
        <w:tc>
          <w:tcPr>
            <w:tcW w:w="1179" w:type="pct"/>
            <w:tcBorders>
              <w:top w:val="single" w:color="000000" w:sz="4" w:space="0"/>
              <w:left w:val="single" w:color="000000" w:sz="4" w:space="0"/>
              <w:bottom w:val="single" w:color="000000" w:sz="4" w:space="0"/>
              <w:right w:val="single" w:color="000000" w:sz="4" w:space="0"/>
            </w:tcBorders>
            <w:noWrap w:val="0"/>
            <w:vAlign w:val="center"/>
          </w:tcPr>
          <w:p w14:paraId="561C9E6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Theme="minorEastAsia" w:hAnsiTheme="minorEastAsia" w:eastAsiaTheme="minorEastAsia" w:cstheme="minorEastAsia"/>
                <w:i w:val="0"/>
                <w:color w:val="auto"/>
                <w:kern w:val="0"/>
                <w:sz w:val="20"/>
                <w:szCs w:val="20"/>
                <w:u w:val="none"/>
                <w:lang w:val="en-US" w:eastAsia="zh-CN" w:bidi="ar"/>
              </w:rPr>
            </w:pPr>
            <w:r>
              <w:rPr>
                <w:rFonts w:hint="eastAsia" w:asciiTheme="minorEastAsia" w:hAnsiTheme="minorEastAsia" w:eastAsiaTheme="minorEastAsia" w:cstheme="minorEastAsia"/>
                <w:i w:val="0"/>
                <w:color w:val="auto"/>
                <w:kern w:val="0"/>
                <w:sz w:val="20"/>
                <w:szCs w:val="20"/>
                <w:u w:val="none"/>
                <w:lang w:val="en-US" w:eastAsia="zh-CN" w:bidi="ar"/>
              </w:rPr>
              <w:t>所定价格涵盖航空器交通往返相关管理费、折旧费、消毒费、油耗、司机劳务等所需的人力资源和基本物质资源消耗</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14:paraId="6FE24C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i w:val="0"/>
                <w:color w:val="auto"/>
                <w:kern w:val="0"/>
                <w:sz w:val="20"/>
                <w:szCs w:val="20"/>
                <w:u w:val="none"/>
                <w:lang w:val="en-US" w:eastAsia="zh-CN" w:bidi="ar"/>
              </w:rPr>
            </w:pPr>
            <w:r>
              <w:rPr>
                <w:rFonts w:hint="eastAsia" w:asciiTheme="minorEastAsia" w:hAnsiTheme="minorEastAsia" w:eastAsiaTheme="minorEastAsia" w:cstheme="minorEastAsia"/>
                <w:i w:val="0"/>
                <w:color w:val="auto"/>
                <w:kern w:val="0"/>
                <w:sz w:val="20"/>
                <w:szCs w:val="20"/>
                <w:u w:val="none"/>
                <w:lang w:val="en-US" w:eastAsia="zh-CN" w:bidi="ar"/>
              </w:rPr>
              <w:t>次</w:t>
            </w:r>
          </w:p>
        </w:tc>
        <w:tc>
          <w:tcPr>
            <w:tcW w:w="805" w:type="pct"/>
            <w:tcBorders>
              <w:top w:val="single" w:color="000000" w:sz="4" w:space="0"/>
              <w:left w:val="single" w:color="000000" w:sz="4" w:space="0"/>
              <w:bottom w:val="single" w:color="000000" w:sz="4" w:space="0"/>
              <w:right w:val="single" w:color="000000" w:sz="4" w:space="0"/>
            </w:tcBorders>
            <w:noWrap w:val="0"/>
            <w:vAlign w:val="center"/>
          </w:tcPr>
          <w:p w14:paraId="3BAD3D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i w:val="0"/>
                <w:color w:val="auto"/>
                <w:kern w:val="0"/>
                <w:sz w:val="20"/>
                <w:szCs w:val="20"/>
                <w:u w:val="none"/>
                <w:lang w:val="en-US" w:eastAsia="zh-CN" w:bidi="ar"/>
              </w:rPr>
            </w:pPr>
            <w:r>
              <w:rPr>
                <w:rFonts w:hint="eastAsia" w:asciiTheme="minorEastAsia" w:hAnsiTheme="minorEastAsia" w:eastAsiaTheme="minorEastAsia" w:cstheme="minorEastAsia"/>
                <w:i w:val="0"/>
                <w:color w:val="auto"/>
                <w:kern w:val="0"/>
                <w:sz w:val="20"/>
                <w:szCs w:val="20"/>
                <w:u w:val="none"/>
                <w:lang w:val="en-US" w:eastAsia="zh-CN" w:bidi="ar"/>
              </w:rPr>
              <w:t>航空医疗转运实行市场调节价，由医院自主制定收费标准。</w:t>
            </w:r>
          </w:p>
        </w:tc>
        <w:tc>
          <w:tcPr>
            <w:tcW w:w="329" w:type="pct"/>
            <w:tcBorders>
              <w:top w:val="single" w:color="000000" w:sz="4" w:space="0"/>
              <w:left w:val="single" w:color="000000" w:sz="4" w:space="0"/>
              <w:bottom w:val="single" w:color="000000" w:sz="4" w:space="0"/>
              <w:right w:val="single" w:color="000000" w:sz="4" w:space="0"/>
            </w:tcBorders>
            <w:noWrap w:val="0"/>
            <w:vAlign w:val="center"/>
          </w:tcPr>
          <w:p w14:paraId="51BDF5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i w:val="0"/>
                <w:color w:val="auto"/>
                <w:kern w:val="0"/>
                <w:sz w:val="20"/>
                <w:szCs w:val="20"/>
                <w:u w:val="none"/>
                <w:lang w:val="en-US" w:eastAsia="zh-CN" w:bidi="ar"/>
              </w:rPr>
            </w:pPr>
            <w:r>
              <w:rPr>
                <w:rFonts w:hint="eastAsia" w:asciiTheme="minorEastAsia" w:hAnsiTheme="minorEastAsia" w:eastAsiaTheme="minorEastAsia" w:cstheme="minorEastAsia"/>
                <w:i w:val="0"/>
                <w:color w:val="auto"/>
                <w:kern w:val="0"/>
                <w:sz w:val="20"/>
                <w:szCs w:val="20"/>
                <w:u w:val="none"/>
                <w:lang w:val="en-US" w:eastAsia="zh-CN" w:bidi="ar"/>
              </w:rPr>
              <w:t>自费</w:t>
            </w:r>
          </w:p>
        </w:tc>
      </w:tr>
    </w:tbl>
    <w:p w14:paraId="18C9F653">
      <w:pPr>
        <w:tabs>
          <w:tab w:val="left" w:pos="727"/>
        </w:tabs>
        <w:bidi w:val="0"/>
        <w:jc w:val="left"/>
        <w:rPr>
          <w:rFonts w:hint="default"/>
          <w:lang w:val="en-US" w:eastAsia="zh-CN"/>
        </w:rPr>
        <w:sectPr>
          <w:pgSz w:w="16838" w:h="11906" w:orient="landscape"/>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4" w:charSpace="0"/>
        </w:sectPr>
      </w:pPr>
    </w:p>
    <w:p w14:paraId="50A06B24">
      <w:pPr>
        <w:tabs>
          <w:tab w:val="left" w:pos="727"/>
        </w:tabs>
        <w:bidi w:val="0"/>
        <w:jc w:val="left"/>
        <w:rPr>
          <w:rFonts w:hint="default"/>
          <w:lang w:val="en-US" w:eastAsia="zh-CN"/>
        </w:rPr>
      </w:pPr>
    </w:p>
    <w:p w14:paraId="38906EF2">
      <w:pPr>
        <w:tabs>
          <w:tab w:val="left" w:pos="727"/>
        </w:tabs>
        <w:bidi w:val="0"/>
        <w:jc w:val="left"/>
        <w:rPr>
          <w:rFonts w:hint="default"/>
          <w:lang w:val="en-US" w:eastAsia="zh-CN"/>
        </w:rPr>
      </w:pPr>
    </w:p>
    <w:p w14:paraId="46F4A637">
      <w:pPr>
        <w:tabs>
          <w:tab w:val="left" w:pos="727"/>
        </w:tabs>
        <w:bidi w:val="0"/>
        <w:jc w:val="left"/>
        <w:rPr>
          <w:rFonts w:hint="default"/>
          <w:lang w:val="en-US" w:eastAsia="zh-CN"/>
        </w:rPr>
      </w:pPr>
    </w:p>
    <w:p w14:paraId="1920357B">
      <w:pPr>
        <w:tabs>
          <w:tab w:val="left" w:pos="727"/>
        </w:tabs>
        <w:bidi w:val="0"/>
        <w:jc w:val="left"/>
        <w:rPr>
          <w:rFonts w:hint="default"/>
          <w:lang w:val="en-US" w:eastAsia="zh-CN"/>
        </w:rPr>
      </w:pPr>
    </w:p>
    <w:p w14:paraId="199A2A9F">
      <w:pPr>
        <w:tabs>
          <w:tab w:val="left" w:pos="727"/>
        </w:tabs>
        <w:bidi w:val="0"/>
        <w:jc w:val="left"/>
        <w:rPr>
          <w:rFonts w:hint="default"/>
          <w:lang w:val="en-US" w:eastAsia="zh-CN"/>
        </w:rPr>
      </w:pPr>
    </w:p>
    <w:p w14:paraId="266D7E45">
      <w:pPr>
        <w:tabs>
          <w:tab w:val="left" w:pos="727"/>
        </w:tabs>
        <w:bidi w:val="0"/>
        <w:jc w:val="left"/>
        <w:rPr>
          <w:rFonts w:hint="default"/>
          <w:lang w:val="en-US" w:eastAsia="zh-CN"/>
        </w:rPr>
      </w:pPr>
    </w:p>
    <w:p w14:paraId="77C00D47">
      <w:pPr>
        <w:tabs>
          <w:tab w:val="left" w:pos="727"/>
        </w:tabs>
        <w:bidi w:val="0"/>
        <w:jc w:val="left"/>
        <w:rPr>
          <w:rFonts w:hint="default"/>
          <w:lang w:val="en-US" w:eastAsia="zh-CN"/>
        </w:rPr>
      </w:pPr>
    </w:p>
    <w:p w14:paraId="321AD222">
      <w:pPr>
        <w:tabs>
          <w:tab w:val="left" w:pos="727"/>
        </w:tabs>
        <w:bidi w:val="0"/>
        <w:jc w:val="left"/>
        <w:rPr>
          <w:rFonts w:hint="default"/>
          <w:lang w:val="en-US" w:eastAsia="zh-CN"/>
        </w:rPr>
      </w:pPr>
    </w:p>
    <w:p w14:paraId="0881E65C">
      <w:pPr>
        <w:tabs>
          <w:tab w:val="left" w:pos="727"/>
        </w:tabs>
        <w:bidi w:val="0"/>
        <w:jc w:val="left"/>
        <w:rPr>
          <w:rFonts w:hint="default"/>
          <w:lang w:val="en-US" w:eastAsia="zh-CN"/>
        </w:rPr>
      </w:pPr>
    </w:p>
    <w:p w14:paraId="5A461C7C">
      <w:pPr>
        <w:tabs>
          <w:tab w:val="left" w:pos="727"/>
        </w:tabs>
        <w:bidi w:val="0"/>
        <w:jc w:val="left"/>
        <w:rPr>
          <w:rFonts w:hint="default"/>
          <w:lang w:val="en-US" w:eastAsia="zh-CN"/>
        </w:rPr>
      </w:pPr>
    </w:p>
    <w:p w14:paraId="65A97FDF">
      <w:pPr>
        <w:tabs>
          <w:tab w:val="left" w:pos="727"/>
        </w:tabs>
        <w:bidi w:val="0"/>
        <w:jc w:val="left"/>
        <w:rPr>
          <w:rFonts w:hint="default"/>
          <w:lang w:val="en-US" w:eastAsia="zh-CN"/>
        </w:rPr>
      </w:pPr>
    </w:p>
    <w:p w14:paraId="5F55A14C">
      <w:pPr>
        <w:tabs>
          <w:tab w:val="left" w:pos="727"/>
        </w:tabs>
        <w:bidi w:val="0"/>
        <w:jc w:val="left"/>
        <w:rPr>
          <w:rFonts w:hint="default"/>
          <w:lang w:val="en-US" w:eastAsia="zh-CN"/>
        </w:rPr>
      </w:pPr>
    </w:p>
    <w:p w14:paraId="210D3746">
      <w:pPr>
        <w:tabs>
          <w:tab w:val="left" w:pos="727"/>
        </w:tabs>
        <w:bidi w:val="0"/>
        <w:jc w:val="left"/>
        <w:rPr>
          <w:rFonts w:hint="default"/>
          <w:lang w:val="en-US" w:eastAsia="zh-CN"/>
        </w:rPr>
      </w:pPr>
    </w:p>
    <w:p w14:paraId="1E98EDF0">
      <w:pPr>
        <w:tabs>
          <w:tab w:val="left" w:pos="727"/>
        </w:tabs>
        <w:bidi w:val="0"/>
        <w:jc w:val="left"/>
        <w:rPr>
          <w:rFonts w:hint="default"/>
          <w:lang w:val="en-US" w:eastAsia="zh-CN"/>
        </w:rPr>
      </w:pPr>
    </w:p>
    <w:p w14:paraId="67CA1121">
      <w:pPr>
        <w:tabs>
          <w:tab w:val="left" w:pos="727"/>
        </w:tabs>
        <w:bidi w:val="0"/>
        <w:jc w:val="left"/>
        <w:rPr>
          <w:rFonts w:hint="default"/>
          <w:lang w:val="en-US" w:eastAsia="zh-CN"/>
        </w:rPr>
      </w:pPr>
    </w:p>
    <w:p w14:paraId="0DF4C87A">
      <w:pPr>
        <w:tabs>
          <w:tab w:val="left" w:pos="727"/>
        </w:tabs>
        <w:bidi w:val="0"/>
        <w:jc w:val="left"/>
        <w:rPr>
          <w:rFonts w:hint="default"/>
          <w:lang w:val="en-US" w:eastAsia="zh-CN"/>
        </w:rPr>
      </w:pPr>
    </w:p>
    <w:p w14:paraId="00171B1C">
      <w:pPr>
        <w:tabs>
          <w:tab w:val="left" w:pos="727"/>
        </w:tabs>
        <w:bidi w:val="0"/>
        <w:jc w:val="left"/>
        <w:rPr>
          <w:rFonts w:hint="default"/>
          <w:lang w:val="en-US" w:eastAsia="zh-CN"/>
        </w:rPr>
      </w:pPr>
    </w:p>
    <w:p w14:paraId="50B230AF">
      <w:pPr>
        <w:tabs>
          <w:tab w:val="left" w:pos="727"/>
        </w:tabs>
        <w:bidi w:val="0"/>
        <w:jc w:val="left"/>
        <w:rPr>
          <w:rFonts w:hint="default"/>
          <w:lang w:val="en-US" w:eastAsia="zh-CN"/>
        </w:rPr>
      </w:pPr>
    </w:p>
    <w:p w14:paraId="489D96CC">
      <w:pPr>
        <w:tabs>
          <w:tab w:val="left" w:pos="727"/>
        </w:tabs>
        <w:bidi w:val="0"/>
        <w:jc w:val="left"/>
        <w:rPr>
          <w:rFonts w:hint="default"/>
          <w:lang w:val="en-US" w:eastAsia="zh-CN"/>
        </w:rPr>
      </w:pPr>
    </w:p>
    <w:p w14:paraId="1E6A0771">
      <w:pPr>
        <w:tabs>
          <w:tab w:val="left" w:pos="727"/>
        </w:tabs>
        <w:bidi w:val="0"/>
        <w:jc w:val="left"/>
        <w:rPr>
          <w:rFonts w:hint="default"/>
          <w:lang w:val="en-US" w:eastAsia="zh-CN"/>
        </w:rPr>
      </w:pPr>
    </w:p>
    <w:p w14:paraId="2AE039B0">
      <w:pPr>
        <w:bidi w:val="0"/>
        <w:rPr>
          <w:rFonts w:hint="default" w:asciiTheme="minorHAnsi" w:hAnsiTheme="minorHAnsi" w:eastAsiaTheme="minorEastAsia" w:cstheme="minorBidi"/>
          <w:kern w:val="2"/>
          <w:sz w:val="21"/>
          <w:szCs w:val="24"/>
          <w:lang w:val="en-US" w:eastAsia="zh-CN" w:bidi="ar-SA"/>
        </w:rPr>
      </w:pPr>
    </w:p>
    <w:p w14:paraId="39E5E3FC">
      <w:pPr>
        <w:bidi w:val="0"/>
        <w:rPr>
          <w:rFonts w:hint="default"/>
          <w:lang w:val="en-US" w:eastAsia="zh-CN"/>
        </w:rPr>
      </w:pPr>
    </w:p>
    <w:p w14:paraId="23E95DBB">
      <w:pPr>
        <w:bidi w:val="0"/>
        <w:rPr>
          <w:rFonts w:hint="default"/>
          <w:lang w:val="en-US" w:eastAsia="zh-CN"/>
        </w:rPr>
      </w:pPr>
    </w:p>
    <w:p w14:paraId="1556EF71">
      <w:pPr>
        <w:bidi w:val="0"/>
        <w:rPr>
          <w:rFonts w:hint="default"/>
          <w:lang w:val="en-US" w:eastAsia="zh-CN"/>
        </w:rPr>
      </w:pPr>
    </w:p>
    <w:p w14:paraId="0BCD4E30">
      <w:pPr>
        <w:bidi w:val="0"/>
        <w:rPr>
          <w:rFonts w:hint="default"/>
          <w:lang w:val="en-US" w:eastAsia="zh-CN"/>
        </w:rPr>
      </w:pPr>
    </w:p>
    <w:p w14:paraId="5DAA3750">
      <w:pPr>
        <w:bidi w:val="0"/>
        <w:rPr>
          <w:rFonts w:hint="default"/>
          <w:lang w:val="en-US" w:eastAsia="zh-CN"/>
        </w:rPr>
      </w:pPr>
    </w:p>
    <w:p w14:paraId="6226CA9C">
      <w:pPr>
        <w:bidi w:val="0"/>
        <w:rPr>
          <w:rFonts w:hint="default"/>
          <w:lang w:val="en-US" w:eastAsia="zh-CN"/>
        </w:rPr>
      </w:pPr>
    </w:p>
    <w:p w14:paraId="6983F93A">
      <w:pPr>
        <w:bidi w:val="0"/>
        <w:rPr>
          <w:rFonts w:hint="default"/>
          <w:lang w:val="en-US" w:eastAsia="zh-CN"/>
        </w:rPr>
      </w:pPr>
    </w:p>
    <w:p w14:paraId="643B259B">
      <w:pPr>
        <w:bidi w:val="0"/>
        <w:rPr>
          <w:rFonts w:hint="default"/>
          <w:lang w:val="en-US" w:eastAsia="zh-CN"/>
        </w:rPr>
      </w:pPr>
    </w:p>
    <w:p w14:paraId="484C65B8">
      <w:pPr>
        <w:bidi w:val="0"/>
        <w:rPr>
          <w:rFonts w:hint="default"/>
          <w:lang w:val="en-US" w:eastAsia="zh-CN"/>
        </w:rPr>
      </w:pPr>
    </w:p>
    <w:p w14:paraId="77716421">
      <w:pPr>
        <w:bidi w:val="0"/>
        <w:rPr>
          <w:rFonts w:hint="default"/>
          <w:lang w:val="en-US" w:eastAsia="zh-CN"/>
        </w:rPr>
      </w:pPr>
    </w:p>
    <w:p w14:paraId="3E49B317">
      <w:pPr>
        <w:tabs>
          <w:tab w:val="left" w:pos="1284"/>
        </w:tabs>
        <w:bidi w:val="0"/>
        <w:jc w:val="left"/>
        <w:rPr>
          <w:rFonts w:hint="eastAsia"/>
          <w:lang w:val="en-US" w:eastAsia="zh-CN"/>
        </w:rPr>
        <w:sectPr>
          <w:footerReference r:id="rId4"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0" w:num="1"/>
          <w:rtlGutter w:val="0"/>
          <w:docGrid w:type="lines" w:linePitch="314" w:charSpace="0"/>
        </w:sectPr>
      </w:pPr>
      <w:r>
        <w:rPr>
          <w:rFonts w:hint="eastAsia"/>
          <w:lang w:val="en-US" w:eastAsia="zh-CN"/>
        </w:rPr>
        <w:tab/>
      </w:r>
    </w:p>
    <w:p w14:paraId="6B822CAB">
      <w:pPr>
        <w:tabs>
          <w:tab w:val="left" w:pos="1284"/>
        </w:tabs>
        <w:bidi w:val="0"/>
        <w:jc w:val="left"/>
        <w:rPr>
          <w:rFonts w:hint="default"/>
          <w:lang w:val="en-US" w:eastAsia="zh-CN"/>
        </w:rPr>
      </w:pPr>
    </w:p>
    <w:p w14:paraId="72F9EB6A">
      <w:pPr>
        <w:tabs>
          <w:tab w:val="left" w:pos="727"/>
        </w:tabs>
        <w:bidi w:val="0"/>
        <w:jc w:val="left"/>
        <w:rPr>
          <w:rFonts w:hint="default"/>
          <w:lang w:val="en-US" w:eastAsia="zh-CN"/>
        </w:rPr>
      </w:pPr>
    </w:p>
    <w:p w14:paraId="3966A8D7">
      <w:pPr>
        <w:tabs>
          <w:tab w:val="left" w:pos="727"/>
        </w:tabs>
        <w:bidi w:val="0"/>
        <w:jc w:val="left"/>
        <w:rPr>
          <w:rFonts w:hint="default"/>
          <w:lang w:val="en-US" w:eastAsia="zh-CN"/>
        </w:rPr>
      </w:pPr>
    </w:p>
    <w:p w14:paraId="2C8FD878">
      <w:pPr>
        <w:tabs>
          <w:tab w:val="left" w:pos="727"/>
        </w:tabs>
        <w:bidi w:val="0"/>
        <w:jc w:val="left"/>
        <w:rPr>
          <w:rFonts w:hint="default"/>
          <w:lang w:val="en-US" w:eastAsia="zh-CN"/>
        </w:rPr>
      </w:pPr>
    </w:p>
    <w:p w14:paraId="63A72CC9">
      <w:pPr>
        <w:tabs>
          <w:tab w:val="left" w:pos="727"/>
        </w:tabs>
        <w:bidi w:val="0"/>
        <w:jc w:val="left"/>
        <w:rPr>
          <w:rFonts w:hint="default"/>
          <w:lang w:val="en-US" w:eastAsia="zh-CN"/>
        </w:rPr>
      </w:pPr>
    </w:p>
    <w:p w14:paraId="7320FD67">
      <w:pPr>
        <w:tabs>
          <w:tab w:val="left" w:pos="727"/>
        </w:tabs>
        <w:bidi w:val="0"/>
        <w:jc w:val="left"/>
        <w:rPr>
          <w:rFonts w:hint="default"/>
          <w:lang w:val="en-US" w:eastAsia="zh-CN"/>
        </w:rPr>
      </w:pPr>
    </w:p>
    <w:p w14:paraId="07078702">
      <w:pPr>
        <w:tabs>
          <w:tab w:val="left" w:pos="727"/>
        </w:tabs>
        <w:bidi w:val="0"/>
        <w:jc w:val="left"/>
        <w:rPr>
          <w:rFonts w:hint="default"/>
          <w:lang w:val="en-US" w:eastAsia="zh-CN"/>
        </w:rPr>
      </w:pPr>
    </w:p>
    <w:p w14:paraId="2C075C13">
      <w:pPr>
        <w:tabs>
          <w:tab w:val="left" w:pos="727"/>
        </w:tabs>
        <w:bidi w:val="0"/>
        <w:jc w:val="left"/>
        <w:rPr>
          <w:rFonts w:hint="default"/>
          <w:lang w:val="en-US" w:eastAsia="zh-CN"/>
        </w:rPr>
      </w:pPr>
    </w:p>
    <w:p w14:paraId="56020537">
      <w:pPr>
        <w:tabs>
          <w:tab w:val="left" w:pos="727"/>
        </w:tabs>
        <w:bidi w:val="0"/>
        <w:jc w:val="left"/>
        <w:rPr>
          <w:rFonts w:hint="default"/>
          <w:lang w:val="en-US" w:eastAsia="zh-CN"/>
        </w:rPr>
      </w:pPr>
    </w:p>
    <w:p w14:paraId="3508FEC8">
      <w:pPr>
        <w:tabs>
          <w:tab w:val="left" w:pos="727"/>
        </w:tabs>
        <w:bidi w:val="0"/>
        <w:jc w:val="left"/>
        <w:rPr>
          <w:rFonts w:hint="default"/>
          <w:lang w:val="en-US" w:eastAsia="zh-CN"/>
        </w:rPr>
      </w:pPr>
    </w:p>
    <w:p w14:paraId="2B6DE53A">
      <w:pPr>
        <w:tabs>
          <w:tab w:val="left" w:pos="727"/>
        </w:tabs>
        <w:bidi w:val="0"/>
        <w:jc w:val="left"/>
        <w:rPr>
          <w:rFonts w:hint="default"/>
          <w:lang w:val="en-US" w:eastAsia="zh-CN"/>
        </w:rPr>
      </w:pPr>
    </w:p>
    <w:p w14:paraId="52395D72">
      <w:pPr>
        <w:tabs>
          <w:tab w:val="left" w:pos="727"/>
        </w:tabs>
        <w:bidi w:val="0"/>
        <w:jc w:val="left"/>
        <w:rPr>
          <w:rFonts w:hint="default"/>
          <w:lang w:val="en-US" w:eastAsia="zh-CN"/>
        </w:rPr>
      </w:pPr>
    </w:p>
    <w:p w14:paraId="6E2D4703">
      <w:pPr>
        <w:tabs>
          <w:tab w:val="left" w:pos="727"/>
        </w:tabs>
        <w:bidi w:val="0"/>
        <w:jc w:val="left"/>
        <w:rPr>
          <w:rFonts w:hint="default"/>
          <w:lang w:val="en-US" w:eastAsia="zh-CN"/>
        </w:rPr>
      </w:pPr>
    </w:p>
    <w:p w14:paraId="028477BD">
      <w:pPr>
        <w:tabs>
          <w:tab w:val="left" w:pos="727"/>
        </w:tabs>
        <w:bidi w:val="0"/>
        <w:jc w:val="left"/>
        <w:rPr>
          <w:rFonts w:hint="default"/>
          <w:lang w:val="en-US" w:eastAsia="zh-CN"/>
        </w:rPr>
      </w:pPr>
    </w:p>
    <w:p w14:paraId="343C519E">
      <w:pPr>
        <w:tabs>
          <w:tab w:val="left" w:pos="727"/>
        </w:tabs>
        <w:bidi w:val="0"/>
        <w:jc w:val="left"/>
        <w:rPr>
          <w:rFonts w:hint="default"/>
          <w:lang w:val="en-US" w:eastAsia="zh-CN"/>
        </w:rPr>
      </w:pPr>
    </w:p>
    <w:p w14:paraId="6DB50ABE">
      <w:pPr>
        <w:tabs>
          <w:tab w:val="left" w:pos="727"/>
        </w:tabs>
        <w:bidi w:val="0"/>
        <w:jc w:val="left"/>
        <w:rPr>
          <w:rFonts w:hint="default"/>
          <w:lang w:val="en-US" w:eastAsia="zh-CN"/>
        </w:rPr>
      </w:pPr>
    </w:p>
    <w:p w14:paraId="5528DF14">
      <w:pPr>
        <w:tabs>
          <w:tab w:val="left" w:pos="727"/>
        </w:tabs>
        <w:bidi w:val="0"/>
        <w:jc w:val="left"/>
        <w:rPr>
          <w:rFonts w:hint="default"/>
          <w:lang w:val="en-US" w:eastAsia="zh-CN"/>
        </w:rPr>
      </w:pPr>
    </w:p>
    <w:p w14:paraId="2AA0DF63">
      <w:pPr>
        <w:tabs>
          <w:tab w:val="left" w:pos="727"/>
        </w:tabs>
        <w:bidi w:val="0"/>
        <w:jc w:val="left"/>
        <w:rPr>
          <w:rFonts w:hint="default"/>
          <w:lang w:val="en-US" w:eastAsia="zh-CN"/>
        </w:rPr>
      </w:pPr>
    </w:p>
    <w:p w14:paraId="2392F345">
      <w:pPr>
        <w:tabs>
          <w:tab w:val="left" w:pos="727"/>
        </w:tabs>
        <w:bidi w:val="0"/>
        <w:jc w:val="left"/>
        <w:rPr>
          <w:rFonts w:hint="default"/>
          <w:lang w:val="en-US" w:eastAsia="zh-CN"/>
        </w:rPr>
      </w:pPr>
    </w:p>
    <w:p w14:paraId="317FF83F">
      <w:pPr>
        <w:tabs>
          <w:tab w:val="left" w:pos="727"/>
        </w:tabs>
        <w:bidi w:val="0"/>
        <w:jc w:val="left"/>
        <w:rPr>
          <w:rFonts w:hint="default"/>
          <w:lang w:val="en-US" w:eastAsia="zh-CN"/>
        </w:rPr>
      </w:pPr>
    </w:p>
    <w:p w14:paraId="25EF13FE">
      <w:pPr>
        <w:tabs>
          <w:tab w:val="left" w:pos="727"/>
        </w:tabs>
        <w:bidi w:val="0"/>
        <w:jc w:val="left"/>
        <w:rPr>
          <w:rFonts w:hint="default"/>
          <w:lang w:val="en-US" w:eastAsia="zh-CN"/>
        </w:rPr>
      </w:pPr>
    </w:p>
    <w:p w14:paraId="4691F2AB">
      <w:pPr>
        <w:tabs>
          <w:tab w:val="left" w:pos="727"/>
        </w:tabs>
        <w:bidi w:val="0"/>
        <w:jc w:val="left"/>
        <w:rPr>
          <w:rFonts w:hint="default"/>
          <w:lang w:val="en-US" w:eastAsia="zh-CN"/>
        </w:rPr>
      </w:pPr>
    </w:p>
    <w:p w14:paraId="0E5252F0">
      <w:pPr>
        <w:tabs>
          <w:tab w:val="left" w:pos="727"/>
        </w:tabs>
        <w:bidi w:val="0"/>
        <w:jc w:val="left"/>
        <w:rPr>
          <w:rFonts w:hint="default"/>
          <w:lang w:val="en-US" w:eastAsia="zh-CN"/>
        </w:rPr>
      </w:pPr>
    </w:p>
    <w:tbl>
      <w:tblPr>
        <w:tblStyle w:val="10"/>
        <w:tblpPr w:leftFromText="180" w:rightFromText="180" w:vertAnchor="text" w:horzAnchor="page" w:tblpX="1525" w:tblpY="2867"/>
        <w:tblOverlap w:val="never"/>
        <w:tblW w:w="9039"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9039"/>
      </w:tblGrid>
      <w:tr w14:paraId="2898F537">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6986895F">
            <w:pPr>
              <w:keepNext w:val="0"/>
              <w:keepLines w:val="0"/>
              <w:pageBreakBefore w:val="0"/>
              <w:widowControl/>
              <w:kinsoku/>
              <w:wordWrap/>
              <w:overflowPunct/>
              <w:topLinePunct w:val="0"/>
              <w:autoSpaceDE/>
              <w:autoSpaceDN/>
              <w:bidi w:val="0"/>
              <w:adjustRightInd/>
              <w:snapToGrid/>
              <w:spacing w:line="560" w:lineRule="exact"/>
              <w:ind w:left="1119" w:leftChars="133" w:hanging="840" w:hangingChars="300"/>
              <w:jc w:val="both"/>
              <w:textAlignment w:val="auto"/>
              <w:rPr>
                <w:rFonts w:hint="eastAsia" w:ascii="宋体" w:hAnsi="宋体" w:eastAsia="仿宋_GB2312" w:cs="仿宋"/>
                <w:kern w:val="0"/>
                <w:sz w:val="28"/>
                <w:szCs w:val="28"/>
                <w:lang w:eastAsia="zh-CN"/>
              </w:rPr>
            </w:pPr>
            <w:r>
              <w:rPr>
                <w:rFonts w:hint="eastAsia" w:ascii="宋体" w:hAnsi="宋体" w:eastAsia="仿宋_GB2312" w:cs="仿宋"/>
                <w:kern w:val="0"/>
                <w:sz w:val="28"/>
                <w:szCs w:val="28"/>
                <w:lang w:eastAsia="zh-CN"/>
              </w:rPr>
              <w:t>抄送：</w:t>
            </w:r>
            <w:r>
              <w:rPr>
                <w:rFonts w:hint="eastAsia" w:ascii="宋体" w:hAnsi="宋体" w:eastAsia="仿宋_GB2312" w:cs="仿宋"/>
                <w:color w:val="auto"/>
                <w:kern w:val="0"/>
                <w:sz w:val="28"/>
                <w:szCs w:val="28"/>
                <w:lang w:val="en-US" w:eastAsia="zh-CN"/>
              </w:rPr>
              <w:t>市</w:t>
            </w:r>
            <w:r>
              <w:rPr>
                <w:rFonts w:hint="eastAsia" w:ascii="宋体" w:hAnsi="宋体" w:eastAsia="仿宋_GB2312" w:cs="仿宋"/>
                <w:color w:val="auto"/>
                <w:kern w:val="0"/>
                <w:sz w:val="28"/>
                <w:szCs w:val="28"/>
              </w:rPr>
              <w:t>卫生健康委、</w:t>
            </w:r>
            <w:r>
              <w:rPr>
                <w:rFonts w:hint="eastAsia" w:ascii="宋体" w:hAnsi="宋体" w:eastAsia="仿宋_GB2312" w:cs="仿宋"/>
                <w:color w:val="auto"/>
                <w:kern w:val="0"/>
                <w:sz w:val="28"/>
                <w:szCs w:val="28"/>
                <w:lang w:val="en-US" w:eastAsia="zh-CN"/>
              </w:rPr>
              <w:t>市</w:t>
            </w:r>
            <w:r>
              <w:rPr>
                <w:rFonts w:hint="eastAsia" w:ascii="宋体" w:hAnsi="宋体" w:eastAsia="仿宋_GB2312" w:cs="仿宋"/>
                <w:color w:val="auto"/>
                <w:kern w:val="0"/>
                <w:sz w:val="28"/>
                <w:szCs w:val="28"/>
              </w:rPr>
              <w:t>市场监督管理局，</w:t>
            </w:r>
            <w:r>
              <w:rPr>
                <w:rFonts w:hint="eastAsia" w:ascii="宋体" w:hAnsi="宋体" w:eastAsia="仿宋_GB2312" w:cs="仿宋"/>
                <w:color w:val="auto"/>
                <w:kern w:val="0"/>
                <w:sz w:val="28"/>
                <w:szCs w:val="28"/>
                <w:lang w:val="en-US" w:eastAsia="zh-CN"/>
              </w:rPr>
              <w:t>市医疗保障基金管理中心、市医疗保障监测中心</w:t>
            </w:r>
            <w:r>
              <w:rPr>
                <w:rFonts w:hint="eastAsia" w:ascii="宋体" w:hAnsi="宋体" w:eastAsia="仿宋_GB2312" w:cs="仿宋"/>
                <w:color w:val="auto"/>
                <w:kern w:val="0"/>
                <w:sz w:val="28"/>
                <w:szCs w:val="28"/>
              </w:rPr>
              <w:t>。</w:t>
            </w:r>
          </w:p>
        </w:tc>
      </w:tr>
      <w:tr w14:paraId="09F635B2">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2E13A04C">
            <w:pPr>
              <w:keepNext w:val="0"/>
              <w:keepLines w:val="0"/>
              <w:pageBreakBefore w:val="0"/>
              <w:widowControl/>
              <w:kinsoku/>
              <w:wordWrap/>
              <w:overflowPunct/>
              <w:topLinePunct w:val="0"/>
              <w:autoSpaceDE/>
              <w:autoSpaceDN/>
              <w:bidi w:val="0"/>
              <w:adjustRightInd/>
              <w:snapToGrid/>
              <w:spacing w:line="560" w:lineRule="exact"/>
              <w:ind w:firstLine="280" w:firstLineChars="100"/>
              <w:jc w:val="both"/>
              <w:textAlignment w:val="auto"/>
              <w:rPr>
                <w:rFonts w:ascii="宋体" w:hAnsi="宋体" w:eastAsia="仿宋_GB2312" w:cs="仿宋"/>
                <w:kern w:val="0"/>
                <w:sz w:val="28"/>
                <w:szCs w:val="28"/>
              </w:rPr>
            </w:pPr>
            <w:r>
              <w:rPr>
                <w:rFonts w:hint="eastAsia" w:ascii="宋体" w:hAnsi="宋体" w:eastAsia="仿宋_GB2312" w:cs="仿宋"/>
                <w:kern w:val="0"/>
                <w:sz w:val="28"/>
                <w:szCs w:val="28"/>
                <w:lang w:val="en-US" w:eastAsia="zh-CN"/>
              </w:rPr>
              <w:t>赣州市</w:t>
            </w:r>
            <w:r>
              <w:rPr>
                <w:rFonts w:hint="eastAsia" w:ascii="宋体" w:hAnsi="宋体" w:eastAsia="仿宋_GB2312" w:cs="仿宋"/>
                <w:kern w:val="0"/>
                <w:sz w:val="28"/>
                <w:szCs w:val="28"/>
              </w:rPr>
              <w:t xml:space="preserve">医疗保障局办公室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202</w:t>
            </w:r>
            <w:r>
              <w:rPr>
                <w:rFonts w:hint="eastAsia" w:ascii="宋体" w:hAnsi="宋体" w:eastAsia="仿宋_GB2312" w:cs="仿宋"/>
                <w:kern w:val="0"/>
                <w:sz w:val="28"/>
                <w:szCs w:val="28"/>
                <w:lang w:val="en-US" w:eastAsia="zh-CN"/>
              </w:rPr>
              <w:t>5</w:t>
            </w:r>
            <w:r>
              <w:rPr>
                <w:rFonts w:hint="eastAsia" w:ascii="宋体" w:hAnsi="宋体" w:eastAsia="仿宋_GB2312" w:cs="仿宋"/>
                <w:kern w:val="0"/>
                <w:sz w:val="28"/>
                <w:szCs w:val="28"/>
              </w:rPr>
              <w:t>年</w:t>
            </w:r>
            <w:r>
              <w:rPr>
                <w:rFonts w:hint="eastAsia" w:ascii="宋体" w:hAnsi="宋体" w:eastAsia="仿宋_GB2312" w:cs="仿宋"/>
                <w:kern w:val="0"/>
                <w:sz w:val="28"/>
                <w:szCs w:val="28"/>
                <w:lang w:val="en-US" w:eastAsia="zh-CN"/>
              </w:rPr>
              <w:t>2</w:t>
            </w:r>
            <w:r>
              <w:rPr>
                <w:rFonts w:hint="eastAsia" w:ascii="宋体" w:hAnsi="宋体" w:eastAsia="仿宋_GB2312" w:cs="仿宋"/>
                <w:kern w:val="0"/>
                <w:sz w:val="28"/>
                <w:szCs w:val="28"/>
              </w:rPr>
              <w:t>月</w:t>
            </w:r>
            <w:r>
              <w:rPr>
                <w:rFonts w:hint="eastAsia" w:ascii="宋体" w:hAnsi="宋体" w:eastAsia="仿宋_GB2312" w:cs="仿宋"/>
                <w:kern w:val="0"/>
                <w:sz w:val="28"/>
                <w:szCs w:val="28"/>
                <w:lang w:val="en-US" w:eastAsia="zh-CN"/>
              </w:rPr>
              <w:t>12</w:t>
            </w:r>
            <w:r>
              <w:rPr>
                <w:rFonts w:hint="eastAsia" w:ascii="宋体" w:hAnsi="宋体" w:eastAsia="仿宋_GB2312" w:cs="仿宋"/>
                <w:kern w:val="0"/>
                <w:sz w:val="28"/>
                <w:szCs w:val="28"/>
              </w:rPr>
              <w:t>日印发</w:t>
            </w:r>
          </w:p>
        </w:tc>
      </w:tr>
    </w:tbl>
    <w:p w14:paraId="1E11F7B8">
      <w:pPr>
        <w:tabs>
          <w:tab w:val="left" w:pos="727"/>
        </w:tabs>
        <w:bidi w:val="0"/>
        <w:jc w:val="left"/>
        <w:rPr>
          <w:rFonts w:hint="default"/>
          <w:lang w:val="en-US" w:eastAsia="zh-CN"/>
        </w:rPr>
      </w:pPr>
    </w:p>
    <w:p w14:paraId="11664901">
      <w:pPr>
        <w:bidi w:val="0"/>
        <w:rPr>
          <w:rFonts w:hint="default" w:asciiTheme="minorHAnsi" w:hAnsiTheme="minorHAnsi" w:eastAsiaTheme="minorEastAsia" w:cstheme="minorBidi"/>
          <w:kern w:val="2"/>
          <w:sz w:val="21"/>
          <w:szCs w:val="24"/>
          <w:lang w:val="en-US" w:eastAsia="zh-CN" w:bidi="ar-SA"/>
        </w:rPr>
      </w:pPr>
    </w:p>
    <w:p w14:paraId="2B137284">
      <w:pPr>
        <w:bidi w:val="0"/>
        <w:rPr>
          <w:rFonts w:hint="default"/>
          <w:lang w:val="en-US" w:eastAsia="zh-CN"/>
        </w:rPr>
      </w:pPr>
    </w:p>
    <w:p w14:paraId="0932022C">
      <w:pPr>
        <w:bidi w:val="0"/>
        <w:rPr>
          <w:rFonts w:hint="default"/>
          <w:lang w:val="en-US" w:eastAsia="zh-CN"/>
        </w:rPr>
      </w:pPr>
    </w:p>
    <w:p w14:paraId="78713EDC">
      <w:pPr>
        <w:bidi w:val="0"/>
        <w:rPr>
          <w:rFonts w:hint="default"/>
          <w:lang w:val="en-US" w:eastAsia="zh-CN"/>
        </w:rPr>
      </w:pPr>
    </w:p>
    <w:p w14:paraId="3B80EB91">
      <w:pPr>
        <w:bidi w:val="0"/>
        <w:rPr>
          <w:rFonts w:hint="default"/>
          <w:lang w:val="en-US" w:eastAsia="zh-CN"/>
        </w:rPr>
      </w:pPr>
    </w:p>
    <w:p w14:paraId="51A9BEB8">
      <w:pPr>
        <w:bidi w:val="0"/>
        <w:rPr>
          <w:rFonts w:hint="default"/>
          <w:lang w:val="en-US" w:eastAsia="zh-CN"/>
        </w:rPr>
      </w:pPr>
    </w:p>
    <w:p w14:paraId="79D9A9E4">
      <w:pPr>
        <w:bidi w:val="0"/>
        <w:rPr>
          <w:rFonts w:hint="default"/>
          <w:lang w:val="en-US" w:eastAsia="zh-CN"/>
        </w:rPr>
      </w:pPr>
    </w:p>
    <w:p w14:paraId="7EA4E4C7">
      <w:pPr>
        <w:bidi w:val="0"/>
        <w:rPr>
          <w:rFonts w:hint="default"/>
          <w:lang w:val="en-US" w:eastAsia="zh-CN"/>
        </w:rPr>
      </w:pPr>
    </w:p>
    <w:p w14:paraId="4F70E8D2">
      <w:pPr>
        <w:keepNext w:val="0"/>
        <w:keepLines w:val="0"/>
        <w:pageBreakBefore w:val="0"/>
        <w:widowControl w:val="0"/>
        <w:kinsoku/>
        <w:wordWrap/>
        <w:overflowPunct/>
        <w:topLinePunct w:val="0"/>
        <w:autoSpaceDE/>
        <w:autoSpaceDN/>
        <w:bidi w:val="0"/>
        <w:adjustRightInd/>
        <w:snapToGrid/>
        <w:spacing w:line="560" w:lineRule="exact"/>
        <w:ind w:firstLine="221" w:firstLineChars="0"/>
        <w:jc w:val="left"/>
        <w:textAlignment w:val="auto"/>
        <w:rPr>
          <w:rFonts w:hint="default" w:ascii="宋体" w:hAnsi="宋体" w:eastAsia="仿宋_GB2312"/>
          <w:sz w:val="28"/>
          <w:lang w:val="en-US" w:eastAsia="zh-CN"/>
        </w:rPr>
      </w:pPr>
      <w:r>
        <w:rPr>
          <w:rFonts w:hint="eastAsia" w:ascii="宋体" w:hAnsi="宋体" w:eastAsia="仿宋_GB2312"/>
          <w:sz w:val="28"/>
          <w:lang w:val="en-US" w:eastAsia="zh-CN"/>
        </w:rPr>
        <w:t>一校：谢宝松             二校：钟海滨           三校：刘剑飞</w:t>
      </w:r>
    </w:p>
    <w:sectPr>
      <w:footerReference r:id="rId5"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EA542">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0EECBB">
                          <w:pPr>
                            <w:pStyle w:val="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10EECBB">
                    <w:pPr>
                      <w:pStyle w:val="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D2EF8">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E1362">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hNmNlZmUxNzZiYjc5ZGY3Nzk5ODk5NTQxZGJmZGMifQ=="/>
  </w:docVars>
  <w:rsids>
    <w:rsidRoot w:val="00172A27"/>
    <w:rsid w:val="0182598F"/>
    <w:rsid w:val="01F23F3B"/>
    <w:rsid w:val="026C2582"/>
    <w:rsid w:val="02987B74"/>
    <w:rsid w:val="04673CA2"/>
    <w:rsid w:val="04C24CB3"/>
    <w:rsid w:val="05031C1C"/>
    <w:rsid w:val="067965FD"/>
    <w:rsid w:val="07AD2971"/>
    <w:rsid w:val="07B51B6B"/>
    <w:rsid w:val="091A40B1"/>
    <w:rsid w:val="09420839"/>
    <w:rsid w:val="0AF32FA6"/>
    <w:rsid w:val="0B237147"/>
    <w:rsid w:val="0BC16DAA"/>
    <w:rsid w:val="0D585B80"/>
    <w:rsid w:val="0E3438E1"/>
    <w:rsid w:val="0EAA4EB7"/>
    <w:rsid w:val="0F2729AB"/>
    <w:rsid w:val="0FA21996"/>
    <w:rsid w:val="11766A90"/>
    <w:rsid w:val="11E711AA"/>
    <w:rsid w:val="12333415"/>
    <w:rsid w:val="132C0A36"/>
    <w:rsid w:val="13A06637"/>
    <w:rsid w:val="14C012DC"/>
    <w:rsid w:val="17245D02"/>
    <w:rsid w:val="181810E3"/>
    <w:rsid w:val="19445258"/>
    <w:rsid w:val="194725C7"/>
    <w:rsid w:val="1A6836E2"/>
    <w:rsid w:val="1A6B4094"/>
    <w:rsid w:val="1B476D9F"/>
    <w:rsid w:val="1B4D19EC"/>
    <w:rsid w:val="1D86505E"/>
    <w:rsid w:val="1E3E4E49"/>
    <w:rsid w:val="1F672950"/>
    <w:rsid w:val="1F8150EA"/>
    <w:rsid w:val="1FA45160"/>
    <w:rsid w:val="21AB121A"/>
    <w:rsid w:val="23467998"/>
    <w:rsid w:val="24821F96"/>
    <w:rsid w:val="252B2389"/>
    <w:rsid w:val="252C5CD3"/>
    <w:rsid w:val="28E978C7"/>
    <w:rsid w:val="28EF6F2E"/>
    <w:rsid w:val="29CD5F2C"/>
    <w:rsid w:val="2B035C23"/>
    <w:rsid w:val="2BAD5B8F"/>
    <w:rsid w:val="2D901140"/>
    <w:rsid w:val="2F8B70F8"/>
    <w:rsid w:val="30285805"/>
    <w:rsid w:val="302F3016"/>
    <w:rsid w:val="30A21A3A"/>
    <w:rsid w:val="30B91D37"/>
    <w:rsid w:val="30F02D3F"/>
    <w:rsid w:val="316C4755"/>
    <w:rsid w:val="325900D7"/>
    <w:rsid w:val="331F1195"/>
    <w:rsid w:val="33356B95"/>
    <w:rsid w:val="33B25689"/>
    <w:rsid w:val="368220F2"/>
    <w:rsid w:val="36914A2B"/>
    <w:rsid w:val="36C9055E"/>
    <w:rsid w:val="37E83227"/>
    <w:rsid w:val="39E6508D"/>
    <w:rsid w:val="3AE07543"/>
    <w:rsid w:val="3CA01523"/>
    <w:rsid w:val="3D7C1CB9"/>
    <w:rsid w:val="3F155E94"/>
    <w:rsid w:val="3FC714BD"/>
    <w:rsid w:val="408D0DFA"/>
    <w:rsid w:val="41F2019E"/>
    <w:rsid w:val="42383F53"/>
    <w:rsid w:val="42E66665"/>
    <w:rsid w:val="43212689"/>
    <w:rsid w:val="434B59BB"/>
    <w:rsid w:val="450D1BA9"/>
    <w:rsid w:val="452D073E"/>
    <w:rsid w:val="453E5D7D"/>
    <w:rsid w:val="45420DE7"/>
    <w:rsid w:val="47A45C40"/>
    <w:rsid w:val="48AA5459"/>
    <w:rsid w:val="49CB0D28"/>
    <w:rsid w:val="4A7D0BC1"/>
    <w:rsid w:val="4AC75AD4"/>
    <w:rsid w:val="4B4D1F72"/>
    <w:rsid w:val="4C013661"/>
    <w:rsid w:val="4CEA0599"/>
    <w:rsid w:val="4D4001B9"/>
    <w:rsid w:val="4E96255C"/>
    <w:rsid w:val="4F0E5092"/>
    <w:rsid w:val="4F1B3C96"/>
    <w:rsid w:val="50EA0B67"/>
    <w:rsid w:val="510B1DA6"/>
    <w:rsid w:val="517A06E1"/>
    <w:rsid w:val="51BA0B57"/>
    <w:rsid w:val="51F9218A"/>
    <w:rsid w:val="52A5743C"/>
    <w:rsid w:val="52ED0D39"/>
    <w:rsid w:val="52F54D62"/>
    <w:rsid w:val="536F35A6"/>
    <w:rsid w:val="53762B86"/>
    <w:rsid w:val="54A74B1E"/>
    <w:rsid w:val="553B4EC1"/>
    <w:rsid w:val="5621502B"/>
    <w:rsid w:val="568A7075"/>
    <w:rsid w:val="573B3011"/>
    <w:rsid w:val="57957FF4"/>
    <w:rsid w:val="581312C1"/>
    <w:rsid w:val="58FB5FCE"/>
    <w:rsid w:val="59CD4D46"/>
    <w:rsid w:val="5A584D94"/>
    <w:rsid w:val="5BD76FD7"/>
    <w:rsid w:val="5BEF1728"/>
    <w:rsid w:val="5C6B5855"/>
    <w:rsid w:val="5C96343D"/>
    <w:rsid w:val="5CEB25CF"/>
    <w:rsid w:val="5D5462B4"/>
    <w:rsid w:val="5E322F1A"/>
    <w:rsid w:val="5F321C83"/>
    <w:rsid w:val="61783F6D"/>
    <w:rsid w:val="62206ADF"/>
    <w:rsid w:val="62A2257D"/>
    <w:rsid w:val="62B30B23"/>
    <w:rsid w:val="636649C5"/>
    <w:rsid w:val="64D0367B"/>
    <w:rsid w:val="66376627"/>
    <w:rsid w:val="663E15FB"/>
    <w:rsid w:val="67EC6A5C"/>
    <w:rsid w:val="683C7AA3"/>
    <w:rsid w:val="697D415D"/>
    <w:rsid w:val="69EF3467"/>
    <w:rsid w:val="6A520B94"/>
    <w:rsid w:val="6B6B512C"/>
    <w:rsid w:val="6BA315EC"/>
    <w:rsid w:val="6BC24763"/>
    <w:rsid w:val="6C44786E"/>
    <w:rsid w:val="6C7E2322"/>
    <w:rsid w:val="6D565AFB"/>
    <w:rsid w:val="6DE7B521"/>
    <w:rsid w:val="6E2766F2"/>
    <w:rsid w:val="6EFC4430"/>
    <w:rsid w:val="6F7F5EC2"/>
    <w:rsid w:val="6FC7059A"/>
    <w:rsid w:val="715B78AE"/>
    <w:rsid w:val="71AB4831"/>
    <w:rsid w:val="71B845FC"/>
    <w:rsid w:val="72087044"/>
    <w:rsid w:val="722222DB"/>
    <w:rsid w:val="7304188B"/>
    <w:rsid w:val="738A433D"/>
    <w:rsid w:val="73CB6213"/>
    <w:rsid w:val="73F15500"/>
    <w:rsid w:val="74466A10"/>
    <w:rsid w:val="746641EB"/>
    <w:rsid w:val="755B0018"/>
    <w:rsid w:val="75A924AE"/>
    <w:rsid w:val="767474F7"/>
    <w:rsid w:val="76CD220E"/>
    <w:rsid w:val="771551E9"/>
    <w:rsid w:val="7789E8E8"/>
    <w:rsid w:val="77DE46D3"/>
    <w:rsid w:val="78AF6C78"/>
    <w:rsid w:val="7976E691"/>
    <w:rsid w:val="7A47517A"/>
    <w:rsid w:val="7B2D1F7C"/>
    <w:rsid w:val="7BCA1B85"/>
    <w:rsid w:val="7BDB36D7"/>
    <w:rsid w:val="7C1608F4"/>
    <w:rsid w:val="7C18286D"/>
    <w:rsid w:val="7C8B2423"/>
    <w:rsid w:val="7DFC5693"/>
    <w:rsid w:val="7E2E7A36"/>
    <w:rsid w:val="7F67554A"/>
    <w:rsid w:val="7FC71EF0"/>
    <w:rsid w:val="7FF858C3"/>
    <w:rsid w:val="C6EDB260"/>
    <w:rsid w:val="C7EF01E6"/>
    <w:rsid w:val="DEFE9177"/>
    <w:rsid w:val="F0F7FDFA"/>
    <w:rsid w:val="F77E0C52"/>
    <w:rsid w:val="F87FF75F"/>
    <w:rsid w:val="F9659D83"/>
    <w:rsid w:val="F9BF2E23"/>
    <w:rsid w:val="FB7DAE7B"/>
    <w:rsid w:val="FD590F3B"/>
    <w:rsid w:val="FFAF9085"/>
    <w:rsid w:val="FFF6F442"/>
    <w:rsid w:val="FFFFA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240" w:lineRule="auto"/>
      <w:jc w:val="center"/>
      <w:outlineLvl w:val="0"/>
    </w:pPr>
    <w:rPr>
      <w:rFonts w:eastAsia="方正小标宋简体" w:asciiTheme="minorAscii" w:hAnsiTheme="minorAscii"/>
      <w:kern w:val="44"/>
      <w:sz w:val="44"/>
      <w:szCs w:val="22"/>
    </w:rPr>
  </w:style>
  <w:style w:type="paragraph" w:styleId="3">
    <w:name w:val="heading 2"/>
    <w:basedOn w:val="1"/>
    <w:next w:val="1"/>
    <w:unhideWhenUsed/>
    <w:qFormat/>
    <w:uiPriority w:val="0"/>
    <w:pPr>
      <w:keepNext/>
      <w:keepLines/>
      <w:spacing w:beforeLines="100" w:line="600" w:lineRule="exact"/>
      <w:outlineLvl w:val="1"/>
    </w:pPr>
    <w:rPr>
      <w:rFonts w:ascii="Arial" w:hAnsi="Arial" w:eastAsia="仿宋_GB2312" w:cs="Times New Roman"/>
      <w:sz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Times New Roman" w:hAnsi="Times New Roman" w:eastAsia="宋体" w:cs="Times New Roman"/>
    </w:rPr>
  </w:style>
  <w:style w:type="paragraph" w:styleId="5">
    <w:name w:val="Body Text"/>
    <w:basedOn w:val="1"/>
    <w:next w:val="1"/>
    <w:qFormat/>
    <w:uiPriority w:val="0"/>
    <w:pPr>
      <w:spacing w:after="120"/>
    </w:pPr>
    <w:rPr>
      <w:rFonts w:ascii="Times New Roman" w:hAnsi="Times New Roman"/>
      <w:szCs w:val="24"/>
    </w:rPr>
  </w:style>
  <w:style w:type="paragraph" w:styleId="6">
    <w:name w:val="Plain Text"/>
    <w:basedOn w:val="1"/>
    <w:qFormat/>
    <w:uiPriority w:val="0"/>
    <w:rPr>
      <w:rFonts w:ascii="宋体" w:hAnsi="Courier New" w:cs="Courier New"/>
      <w:sz w:val="32"/>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nhideWhenUsed/>
    <w:qFormat/>
    <w:uiPriority w:val="99"/>
    <w:pPr>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font11"/>
    <w:basedOn w:val="12"/>
    <w:qFormat/>
    <w:uiPriority w:val="0"/>
    <w:rPr>
      <w:rFonts w:hint="eastAsia" w:ascii="黑体" w:hAnsi="宋体" w:eastAsia="黑体" w:cs="黑体"/>
      <w:color w:val="000000"/>
      <w:sz w:val="20"/>
      <w:szCs w:val="20"/>
      <w:u w:val="none"/>
    </w:rPr>
  </w:style>
  <w:style w:type="character" w:customStyle="1" w:styleId="14">
    <w:name w:val="font21"/>
    <w:basedOn w:val="12"/>
    <w:qFormat/>
    <w:uiPriority w:val="0"/>
    <w:rPr>
      <w:rFonts w:hint="eastAsia" w:ascii="黑体" w:hAnsi="宋体" w:eastAsia="黑体" w:cs="黑体"/>
      <w:color w:val="000000"/>
      <w:sz w:val="24"/>
      <w:szCs w:val="24"/>
      <w:u w:val="none"/>
    </w:rPr>
  </w:style>
  <w:style w:type="character" w:customStyle="1" w:styleId="15">
    <w:name w:val="font31"/>
    <w:basedOn w:val="12"/>
    <w:qFormat/>
    <w:uiPriority w:val="0"/>
    <w:rPr>
      <w:rFonts w:hint="eastAsia" w:ascii="宋体" w:hAnsi="宋体" w:eastAsia="宋体" w:cs="宋体"/>
      <w:color w:val="000000"/>
      <w:sz w:val="20"/>
      <w:szCs w:val="20"/>
      <w:u w:val="none"/>
    </w:rPr>
  </w:style>
  <w:style w:type="character" w:customStyle="1" w:styleId="16">
    <w:name w:val="font41"/>
    <w:basedOn w:val="12"/>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2081</Words>
  <Characters>2165</Characters>
  <Lines>0</Lines>
  <Paragraphs>0</Paragraphs>
  <TotalTime>5</TotalTime>
  <ScaleCrop>false</ScaleCrop>
  <LinksUpToDate>false</LinksUpToDate>
  <CharactersWithSpaces>2251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2022-12-11T00:13:00Z</dcterms:created>
  <dc:creator>Administrator</dc:creator>
  <cp:lastModifiedBy>嗯</cp:lastModifiedBy>
  <cp:lastPrinted>2025-02-13T09:45:31Z</cp:lastPrinted>
  <dcterms:modified xsi:type="dcterms:W3CDTF">2025-02-13T09:46:08Z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85311823AC524DBBB70592291A8F0EBA</vt:lpwstr>
  </property>
  <property fmtid="{D5CDD505-2E9C-101B-9397-08002B2CF9AE}" pid="4" name="KSOTemplateDocerSaveRecord">
    <vt:lpwstr>eyJoZGlkIjoiMzg5ODcwOGY0ZGM3ZWI5MjFmNTQ1OWRmMTU4ZDM1NjQiLCJ1c2VySWQiOiIyMDc1ODE0ODYifQ==</vt:lpwstr>
  </property>
</Properties>
</file>