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FFFFFF"/>
          <w:lang w:val="en-US" w:eastAsia="zh-CN"/>
        </w:rPr>
        <w:t>石城县医疗保障局2019年</w:t>
      </w: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FFFFFF"/>
        </w:rPr>
        <w:t>政府信息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FFFFFF"/>
        </w:rPr>
        <w:t>公开工作年度</w:t>
      </w: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FFFFFF"/>
          <w:lang w:eastAsia="zh-CN"/>
        </w:rPr>
        <w:t>报告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FFFFFF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sz w:val="32"/>
          <w:szCs w:val="32"/>
          <w:shd w:val="clear" w:color="auto" w:fill="FFFFFF"/>
        </w:rPr>
        <w:t>一、</w:t>
      </w: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总体情况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15" w:right="15" w:firstLine="669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201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仿宋_GB2312"/>
          <w:sz w:val="32"/>
          <w:szCs w:val="32"/>
        </w:rPr>
        <w:t>年，我局认真贯彻以习近平新时代中国特色社会主义思想为指导，积极推进医保政策透明化、医保报销流程标准化、便民服务高效规范化，合理利用新媒体大力推动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政务</w:t>
      </w:r>
      <w:r>
        <w:rPr>
          <w:rFonts w:hint="eastAsia" w:ascii="仿宋_GB2312" w:eastAsia="仿宋_GB2312" w:cs="仿宋_GB2312"/>
          <w:sz w:val="32"/>
          <w:szCs w:val="32"/>
        </w:rPr>
        <w:t>信息公开工作，按照依法依规保密的总原则，常态化宣传医保政策，创新医保业务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经办</w:t>
      </w:r>
      <w:r>
        <w:rPr>
          <w:rFonts w:hint="eastAsia" w:ascii="仿宋_GB2312" w:eastAsia="仿宋_GB2312" w:cs="仿宋_GB2312"/>
          <w:sz w:val="32"/>
          <w:szCs w:val="32"/>
        </w:rPr>
        <w:t>方式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，着力推行网上办理。</w:t>
      </w:r>
      <w:r>
        <w:rPr>
          <w:rFonts w:hint="eastAsia" w:ascii="仿宋_GB2312" w:eastAsia="仿宋_GB2312" w:cs="仿宋_GB2312"/>
          <w:sz w:val="32"/>
          <w:szCs w:val="32"/>
        </w:rPr>
        <w:t>截止201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仿宋_GB2312"/>
          <w:sz w:val="32"/>
          <w:szCs w:val="32"/>
        </w:rPr>
        <w:t>年底，</w:t>
      </w:r>
      <w:r>
        <w:rPr>
          <w:rFonts w:hint="eastAsia" w:ascii="仿宋_GB2312" w:eastAsia="仿宋_GB2312" w:cs="仿宋_GB2312"/>
          <w:spacing w:val="-6"/>
          <w:sz w:val="32"/>
          <w:szCs w:val="32"/>
        </w:rPr>
        <w:t>我局主动公开政府信息</w:t>
      </w:r>
      <w:r>
        <w:rPr>
          <w:rFonts w:hint="eastAsia" w:ascii="仿宋_GB2312" w:eastAsia="仿宋_GB2312" w:cs="仿宋_GB2312"/>
          <w:spacing w:val="-6"/>
          <w:sz w:val="32"/>
          <w:szCs w:val="32"/>
          <w:lang w:val="en-US" w:eastAsia="zh-CN"/>
        </w:rPr>
        <w:t>475</w:t>
      </w:r>
      <w:r>
        <w:rPr>
          <w:rFonts w:hint="eastAsia" w:ascii="仿宋_GB2312" w:eastAsia="仿宋_GB2312" w:cs="仿宋_GB2312"/>
          <w:spacing w:val="-6"/>
          <w:sz w:val="32"/>
          <w:szCs w:val="32"/>
        </w:rPr>
        <w:t>条，其中主动公开</w:t>
      </w:r>
      <w:r>
        <w:rPr>
          <w:rFonts w:hint="eastAsia" w:ascii="仿宋_GB2312" w:eastAsia="仿宋_GB2312" w:cs="仿宋_GB2312"/>
          <w:spacing w:val="-6"/>
          <w:sz w:val="32"/>
          <w:szCs w:val="32"/>
          <w:lang w:eastAsia="zh-CN"/>
        </w:rPr>
        <w:t>法规文件</w:t>
      </w:r>
      <w:r>
        <w:rPr>
          <w:rFonts w:hint="eastAsia" w:ascii="仿宋_GB2312" w:eastAsia="仿宋_GB2312" w:cs="仿宋_GB2312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 w:cs="仿宋_GB2312"/>
          <w:spacing w:val="-6"/>
          <w:sz w:val="32"/>
          <w:szCs w:val="32"/>
        </w:rPr>
        <w:t>条；</w:t>
      </w:r>
      <w:r>
        <w:rPr>
          <w:rFonts w:hint="eastAsia" w:ascii="仿宋_GB2312" w:eastAsia="仿宋_GB2312" w:cs="仿宋_GB2312"/>
          <w:spacing w:val="-6"/>
          <w:sz w:val="32"/>
          <w:szCs w:val="32"/>
          <w:lang w:eastAsia="zh-CN"/>
        </w:rPr>
        <w:t>工作动态发布</w:t>
      </w:r>
      <w:r>
        <w:rPr>
          <w:rFonts w:hint="eastAsia" w:ascii="仿宋_GB2312" w:eastAsia="仿宋_GB2312" w:cs="仿宋_GB2312"/>
          <w:spacing w:val="-6"/>
          <w:sz w:val="32"/>
          <w:szCs w:val="32"/>
          <w:lang w:val="en-US" w:eastAsia="zh-CN"/>
        </w:rPr>
        <w:t>465条；</w:t>
      </w:r>
      <w:r>
        <w:rPr>
          <w:rFonts w:hint="eastAsia" w:ascii="仿宋_GB2312" w:eastAsia="仿宋_GB2312" w:cs="仿宋_GB2312"/>
          <w:spacing w:val="-6"/>
          <w:sz w:val="32"/>
          <w:szCs w:val="32"/>
          <w:lang w:eastAsia="zh-CN"/>
        </w:rPr>
        <w:t>微信公众号公开发布信息</w:t>
      </w:r>
      <w:r>
        <w:rPr>
          <w:rFonts w:hint="eastAsia" w:ascii="仿宋_GB2312" w:eastAsia="仿宋_GB2312" w:cs="仿宋_GB2312"/>
          <w:spacing w:val="-6"/>
          <w:sz w:val="32"/>
          <w:szCs w:val="32"/>
          <w:lang w:val="en-US" w:eastAsia="zh-CN"/>
        </w:rPr>
        <w:t>67条，我局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本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年度成功开通了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微信公众号缴纳医保费用、办理异地就医转诊转院、参保登记信息查询等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6大类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医保业务</w:t>
      </w:r>
      <w:r>
        <w:rPr>
          <w:rFonts w:hint="eastAsia" w:ascii="仿宋_GB2312" w:eastAsia="仿宋_GB2312" w:cs="仿宋_GB2312"/>
          <w:sz w:val="32"/>
          <w:szCs w:val="32"/>
        </w:rPr>
        <w:t>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进一步</w:t>
      </w:r>
      <w:r>
        <w:rPr>
          <w:rFonts w:hint="eastAsia" w:ascii="仿宋_GB2312" w:eastAsia="仿宋_GB2312" w:cs="仿宋_GB2312"/>
          <w:sz w:val="32"/>
          <w:szCs w:val="32"/>
        </w:rPr>
        <w:t>方便了参保群众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办事，获得了群众的一致好评，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自今年10月份以来，局微信公众号关注量由5000人次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提高到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26240人次，直接打通了医保政策入户入群的“最后一公里”。</w:t>
      </w: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4"/>
        <w:tblW w:w="8942" w:type="dxa"/>
        <w:jc w:val="center"/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36"/>
        <w:gridCol w:w="2386"/>
        <w:gridCol w:w="6"/>
        <w:gridCol w:w="1265"/>
        <w:gridCol w:w="2349"/>
      </w:tblGrid>
      <w:tr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94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23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公开数量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2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规章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2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规范性文件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942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23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本年增/减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2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其他对外管理服务事项</w:t>
            </w:r>
          </w:p>
        </w:tc>
        <w:tc>
          <w:tcPr>
            <w:tcW w:w="2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942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23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本年增/减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2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行政处罚</w:t>
            </w:r>
          </w:p>
        </w:tc>
        <w:tc>
          <w:tcPr>
            <w:tcW w:w="2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2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行政强制</w:t>
            </w:r>
          </w:p>
        </w:tc>
        <w:tc>
          <w:tcPr>
            <w:tcW w:w="2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942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2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上一年项目数量</w:t>
            </w:r>
          </w:p>
        </w:tc>
        <w:tc>
          <w:tcPr>
            <w:tcW w:w="361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行政事业性收费</w:t>
            </w:r>
          </w:p>
        </w:tc>
        <w:tc>
          <w:tcPr>
            <w:tcW w:w="2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3614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942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23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采购项目数量</w:t>
            </w:r>
          </w:p>
        </w:tc>
        <w:tc>
          <w:tcPr>
            <w:tcW w:w="36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政府集中采购</w:t>
            </w:r>
          </w:p>
        </w:tc>
        <w:tc>
          <w:tcPr>
            <w:tcW w:w="23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36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</w:tbl>
    <w:p>
      <w:pPr>
        <w:pStyle w:val="3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Cs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color w:val="333333"/>
          <w:sz w:val="28"/>
          <w:szCs w:val="28"/>
          <w:shd w:val="clear" w:color="auto" w:fill="FFFFFF"/>
          <w:lang w:eastAsia="zh-CN"/>
        </w:rPr>
        <w:t>三、</w:t>
      </w:r>
      <w:r>
        <w:rPr>
          <w:rFonts w:hint="eastAsia" w:ascii="仿宋_GB2312" w:hAnsi="仿宋_GB2312" w:eastAsia="仿宋_GB2312" w:cs="仿宋_GB2312"/>
          <w:bCs/>
          <w:color w:val="333333"/>
          <w:sz w:val="28"/>
          <w:szCs w:val="28"/>
          <w:shd w:val="clear" w:color="auto" w:fill="FFFFFF"/>
        </w:rPr>
        <w:t>收到和处理政府信息公开申请情况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855"/>
        <w:gridCol w:w="2336"/>
        <w:gridCol w:w="567"/>
        <w:gridCol w:w="756"/>
        <w:gridCol w:w="756"/>
        <w:gridCol w:w="815"/>
        <w:gridCol w:w="976"/>
        <w:gridCol w:w="713"/>
        <w:gridCol w:w="67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0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（本列数据的勾稽关系为：第一项加第二项之和，等于第三项加第四项之和）</w:t>
            </w:r>
          </w:p>
        </w:tc>
        <w:tc>
          <w:tcPr>
            <w:tcW w:w="52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0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自然人</w:t>
            </w:r>
          </w:p>
        </w:tc>
        <w:tc>
          <w:tcPr>
            <w:tcW w:w="401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法人或其他组织</w:t>
            </w:r>
          </w:p>
        </w:tc>
        <w:tc>
          <w:tcPr>
            <w:tcW w:w="67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80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商业企业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科研机构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社会公益组织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法律服务机构</w:t>
            </w:r>
          </w:p>
        </w:tc>
        <w:tc>
          <w:tcPr>
            <w:tcW w:w="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其他</w:t>
            </w:r>
          </w:p>
        </w:tc>
        <w:tc>
          <w:tcPr>
            <w:tcW w:w="67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0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一、本年新收政府信息公开申请数量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0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二、上年结转政府信息公开申请数量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三、本年度办理结果</w:t>
            </w:r>
          </w:p>
        </w:tc>
        <w:tc>
          <w:tcPr>
            <w:tcW w:w="3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（一）予以公开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（二）部分公开（区分处理的，只计这一情形，不计其他情形）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（三）不予公开</w:t>
            </w:r>
          </w:p>
        </w:tc>
        <w:tc>
          <w:tcPr>
            <w:tcW w:w="2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1.属于国家秘密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2.其他法律行政法规禁止公开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3.危及“三安全一稳定”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4.保护第三方合法权益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5.属于三类内部事务信息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6.属于四类过程性信息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7.属于行政执法案卷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8.属于行政查询事项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（四）无法提供</w:t>
            </w:r>
          </w:p>
        </w:tc>
        <w:tc>
          <w:tcPr>
            <w:tcW w:w="2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1.本机关不掌握相关政府信息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2.没有现成信息需要另行制作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3.补正后申请内容仍不明确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（五）不予处理</w:t>
            </w:r>
          </w:p>
        </w:tc>
        <w:tc>
          <w:tcPr>
            <w:tcW w:w="2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1.信访举报投诉类申请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3.要求提供公开出版物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4.无正当理由大量反复申请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5.要求行政机关确认或重新出具已获取信息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31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（六）其他处理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31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（七）总计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四、结转下年度继续办理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</w:tbl>
    <w:p>
      <w:pPr>
        <w:pStyle w:val="3"/>
        <w:pageBreakBefore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4"/>
        <w:tblW w:w="903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600"/>
        <w:gridCol w:w="600"/>
        <w:gridCol w:w="600"/>
        <w:gridCol w:w="663"/>
        <w:gridCol w:w="547"/>
        <w:gridCol w:w="601"/>
        <w:gridCol w:w="601"/>
        <w:gridCol w:w="601"/>
        <w:gridCol w:w="608"/>
        <w:gridCol w:w="601"/>
        <w:gridCol w:w="601"/>
        <w:gridCol w:w="601"/>
        <w:gridCol w:w="602"/>
        <w:gridCol w:w="61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30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行政复议</w:t>
            </w:r>
          </w:p>
        </w:tc>
        <w:tc>
          <w:tcPr>
            <w:tcW w:w="5976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60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尚未审结</w:t>
            </w:r>
          </w:p>
        </w:tc>
        <w:tc>
          <w:tcPr>
            <w:tcW w:w="66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总计</w:t>
            </w:r>
          </w:p>
        </w:tc>
        <w:tc>
          <w:tcPr>
            <w:tcW w:w="295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未经复议直接起诉</w:t>
            </w:r>
          </w:p>
        </w:tc>
        <w:tc>
          <w:tcPr>
            <w:tcW w:w="30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  <w:jc w:val="center"/>
        </w:trPr>
        <w:tc>
          <w:tcPr>
            <w:tcW w:w="6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6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结果维持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结果纠正</w:t>
            </w:r>
          </w:p>
        </w:tc>
        <w:tc>
          <w:tcPr>
            <w:tcW w:w="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其他结果</w:t>
            </w:r>
          </w:p>
        </w:tc>
        <w:tc>
          <w:tcPr>
            <w:tcW w:w="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尚未审结</w:t>
            </w:r>
          </w:p>
        </w:tc>
        <w:tc>
          <w:tcPr>
            <w:tcW w:w="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总计</w:t>
            </w:r>
          </w:p>
        </w:tc>
        <w:tc>
          <w:tcPr>
            <w:tcW w:w="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结果维持</w:t>
            </w:r>
          </w:p>
        </w:tc>
        <w:tc>
          <w:tcPr>
            <w:tcW w:w="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结果纠正</w:t>
            </w:r>
          </w:p>
        </w:tc>
        <w:tc>
          <w:tcPr>
            <w:tcW w:w="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其他结果</w:t>
            </w:r>
          </w:p>
        </w:tc>
        <w:tc>
          <w:tcPr>
            <w:tcW w:w="6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尚未审结</w:t>
            </w:r>
          </w:p>
        </w:tc>
        <w:tc>
          <w:tcPr>
            <w:tcW w:w="6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</w:tbl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五、存在的主要问题及改进情况</w:t>
      </w: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（一）存在的主要问题</w:t>
      </w: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我局政府信息公开工作虽然取得了一定的</w:t>
      </w:r>
      <w:r>
        <w:rPr>
          <w:rFonts w:hint="eastAsia" w:ascii="仿宋_GB2312" w:eastAsia="仿宋_GB2312"/>
          <w:sz w:val="32"/>
          <w:szCs w:val="32"/>
          <w:lang w:eastAsia="zh-CN"/>
        </w:rPr>
        <w:t>成效</w:t>
      </w:r>
      <w:r>
        <w:rPr>
          <w:rFonts w:hint="eastAsia" w:ascii="仿宋_GB2312" w:eastAsia="仿宋_GB2312"/>
          <w:sz w:val="32"/>
          <w:szCs w:val="32"/>
        </w:rPr>
        <w:t>，但也存在着一些不足和问题,主要</w:t>
      </w:r>
      <w:r>
        <w:rPr>
          <w:rFonts w:hint="eastAsia" w:ascii="仿宋_GB2312" w:eastAsia="仿宋_GB2312"/>
          <w:sz w:val="32"/>
          <w:szCs w:val="32"/>
          <w:lang w:eastAsia="zh-CN"/>
        </w:rPr>
        <w:t>存在</w:t>
      </w:r>
      <w:r>
        <w:rPr>
          <w:rFonts w:hint="eastAsia" w:ascii="仿宋_GB2312" w:eastAsia="仿宋_GB2312"/>
          <w:sz w:val="32"/>
          <w:szCs w:val="32"/>
        </w:rPr>
        <w:t>政府信息公开工作的氛围有待加强</w:t>
      </w:r>
      <w:r>
        <w:rPr>
          <w:rFonts w:hint="eastAsia" w:ascii="仿宋_GB2312" w:eastAsia="仿宋_GB2312"/>
          <w:sz w:val="32"/>
          <w:szCs w:val="32"/>
          <w:lang w:eastAsia="zh-CN"/>
        </w:rPr>
        <w:t>，各业务股室信息公开意识有待提高，公开及时性还不够</w:t>
      </w:r>
      <w:r>
        <w:rPr>
          <w:rFonts w:hint="eastAsia" w:ascii="仿宋_GB2312" w:eastAsia="仿宋_GB2312"/>
          <w:sz w:val="32"/>
          <w:szCs w:val="32"/>
        </w:rPr>
        <w:t>；重点</w:t>
      </w:r>
      <w:r>
        <w:rPr>
          <w:rFonts w:hint="eastAsia" w:ascii="仿宋_GB2312" w:eastAsia="仿宋_GB2312"/>
          <w:sz w:val="32"/>
          <w:szCs w:val="32"/>
          <w:lang w:eastAsia="zh-CN"/>
        </w:rPr>
        <w:t>业务</w:t>
      </w:r>
      <w:r>
        <w:rPr>
          <w:rFonts w:hint="eastAsia" w:ascii="仿宋_GB2312" w:eastAsia="仿宋_GB2312"/>
          <w:sz w:val="32"/>
          <w:szCs w:val="32"/>
        </w:rPr>
        <w:t>信息公开工作还要进一步</w:t>
      </w:r>
      <w:r>
        <w:rPr>
          <w:rFonts w:hint="eastAsia" w:ascii="仿宋_GB2312" w:eastAsia="仿宋_GB2312"/>
          <w:sz w:val="32"/>
          <w:szCs w:val="32"/>
          <w:lang w:eastAsia="zh-CN"/>
        </w:rPr>
        <w:t>提升</w:t>
      </w:r>
      <w:r>
        <w:rPr>
          <w:rFonts w:hint="eastAsia" w:ascii="仿宋_GB2312" w:eastAsia="仿宋_GB2312"/>
          <w:sz w:val="32"/>
          <w:szCs w:val="32"/>
        </w:rPr>
        <w:t>；相关工作机制和制度有待进一步完善。</w:t>
      </w: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（二）改进情况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在今后的工作中，我局将继续把政府信息公开工作摆在重要位置，</w:t>
      </w:r>
      <w:r>
        <w:rPr>
          <w:rFonts w:hint="eastAsia" w:ascii="仿宋_GB2312" w:eastAsia="仿宋_GB2312"/>
          <w:sz w:val="32"/>
          <w:szCs w:val="32"/>
          <w:lang w:eastAsia="zh-CN"/>
        </w:rPr>
        <w:t>加强学习，结合实际工作需要，</w:t>
      </w:r>
      <w:r>
        <w:rPr>
          <w:rFonts w:hint="eastAsia" w:ascii="仿宋_GB2312" w:eastAsia="仿宋_GB2312"/>
          <w:sz w:val="32"/>
          <w:szCs w:val="32"/>
        </w:rPr>
        <w:t>采取得力措施，狠抓落实，进一步研究完善</w:t>
      </w:r>
      <w:r>
        <w:rPr>
          <w:rFonts w:hint="eastAsia" w:ascii="仿宋_GB2312" w:eastAsia="仿宋_GB2312"/>
          <w:sz w:val="32"/>
          <w:szCs w:val="32"/>
          <w:lang w:eastAsia="zh-CN"/>
        </w:rPr>
        <w:t>政务</w:t>
      </w:r>
      <w:r>
        <w:rPr>
          <w:rFonts w:hint="eastAsia" w:ascii="仿宋_GB2312" w:eastAsia="仿宋_GB2312"/>
          <w:sz w:val="32"/>
          <w:szCs w:val="32"/>
        </w:rPr>
        <w:t>信息公开工作评价机制、监督管理机制、责任追究机制等。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一是进一步加强政务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信息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公开制度建设。</w:t>
      </w:r>
      <w:r>
        <w:rPr>
          <w:rFonts w:hint="eastAsia" w:ascii="仿宋_GB2312" w:eastAsia="仿宋_GB2312"/>
          <w:sz w:val="32"/>
          <w:szCs w:val="32"/>
        </w:rPr>
        <w:t>不断完善相关制度，进一步强化政策解读、积极回应</w:t>
      </w:r>
      <w:r>
        <w:rPr>
          <w:rFonts w:hint="eastAsia" w:ascii="仿宋_GB2312" w:eastAsia="仿宋_GB2312"/>
          <w:sz w:val="32"/>
          <w:szCs w:val="32"/>
          <w:lang w:eastAsia="zh-CN"/>
        </w:rPr>
        <w:t>群众</w:t>
      </w:r>
      <w:r>
        <w:rPr>
          <w:rFonts w:hint="eastAsia" w:ascii="仿宋_GB2312" w:eastAsia="仿宋_GB2312"/>
          <w:sz w:val="32"/>
          <w:szCs w:val="32"/>
        </w:rPr>
        <w:t>关切、加强平台建设、扩大公众参与、</w:t>
      </w:r>
      <w:r>
        <w:rPr>
          <w:rFonts w:hint="eastAsia" w:ascii="仿宋_GB2312" w:eastAsia="仿宋_GB2312"/>
          <w:sz w:val="32"/>
          <w:szCs w:val="32"/>
          <w:lang w:eastAsia="zh-CN"/>
        </w:rPr>
        <w:t>强化</w:t>
      </w:r>
      <w:r>
        <w:rPr>
          <w:rFonts w:hint="eastAsia" w:ascii="仿宋_GB2312" w:eastAsia="仿宋_GB2312"/>
          <w:sz w:val="32"/>
          <w:szCs w:val="32"/>
        </w:rPr>
        <w:t>组织领导等工作，规范工作程序。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二是进一步加强公开平台管理。</w:t>
      </w:r>
      <w:r>
        <w:rPr>
          <w:rFonts w:hint="eastAsia" w:ascii="仿宋_GB2312" w:eastAsia="仿宋_GB2312"/>
          <w:sz w:val="32"/>
          <w:szCs w:val="32"/>
        </w:rPr>
        <w:t>进一步提高单位微信公众平台的管理水平，</w:t>
      </w:r>
      <w:r>
        <w:rPr>
          <w:rFonts w:hint="eastAsia" w:ascii="仿宋_GB2312" w:eastAsia="仿宋_GB2312"/>
          <w:sz w:val="32"/>
          <w:szCs w:val="32"/>
          <w:lang w:eastAsia="zh-CN"/>
        </w:rPr>
        <w:t>扩大业务经办范围，</w:t>
      </w:r>
      <w:r>
        <w:rPr>
          <w:rFonts w:hint="eastAsia" w:ascii="仿宋_GB2312" w:eastAsia="仿宋_GB2312"/>
          <w:sz w:val="32"/>
          <w:szCs w:val="32"/>
        </w:rPr>
        <w:t>严格执行信息发布审核制度，强化动态更新，</w:t>
      </w:r>
      <w:r>
        <w:rPr>
          <w:rFonts w:hint="eastAsia" w:ascii="仿宋_GB2312" w:eastAsia="仿宋_GB2312"/>
          <w:sz w:val="32"/>
          <w:szCs w:val="32"/>
          <w:lang w:eastAsia="zh-CN"/>
        </w:rPr>
        <w:t>充分利用微信</w:t>
      </w:r>
      <w:r>
        <w:rPr>
          <w:rFonts w:hint="eastAsia" w:ascii="仿宋_GB2312" w:eastAsia="仿宋_GB2312"/>
          <w:sz w:val="32"/>
          <w:szCs w:val="32"/>
        </w:rPr>
        <w:t>公众号</w:t>
      </w:r>
      <w:r>
        <w:rPr>
          <w:rFonts w:hint="eastAsia" w:ascii="仿宋_GB2312" w:eastAsia="仿宋_GB2312"/>
          <w:sz w:val="32"/>
          <w:szCs w:val="32"/>
          <w:lang w:eastAsia="zh-CN"/>
        </w:rPr>
        <w:t>实现网上便捷办事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三是进一步加强单位信息公开队伍建设。</w:t>
      </w:r>
      <w:r>
        <w:rPr>
          <w:rFonts w:hint="eastAsia" w:ascii="仿宋_GB2312" w:eastAsia="仿宋_GB2312"/>
          <w:sz w:val="32"/>
          <w:szCs w:val="32"/>
        </w:rPr>
        <w:t>把政务公开工作</w:t>
      </w:r>
      <w:r>
        <w:rPr>
          <w:rFonts w:hint="eastAsia" w:ascii="仿宋_GB2312" w:eastAsia="仿宋_GB2312"/>
          <w:sz w:val="32"/>
          <w:szCs w:val="32"/>
          <w:lang w:eastAsia="zh-CN"/>
        </w:rPr>
        <w:t>纳入单位年终目标绩效管理考评，设定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AB岗管理责任制</w:t>
      </w:r>
      <w:r>
        <w:rPr>
          <w:rFonts w:hint="eastAsia" w:ascii="仿宋_GB2312" w:eastAsia="仿宋_GB2312"/>
          <w:sz w:val="32"/>
          <w:szCs w:val="32"/>
        </w:rPr>
        <w:t>，根据政务</w:t>
      </w:r>
      <w:r>
        <w:rPr>
          <w:rFonts w:hint="eastAsia" w:ascii="仿宋_GB2312" w:eastAsia="仿宋_GB2312"/>
          <w:sz w:val="32"/>
          <w:szCs w:val="32"/>
          <w:lang w:eastAsia="zh-CN"/>
        </w:rPr>
        <w:t>信息</w:t>
      </w:r>
      <w:r>
        <w:rPr>
          <w:rFonts w:hint="eastAsia" w:ascii="仿宋_GB2312" w:eastAsia="仿宋_GB2312"/>
          <w:sz w:val="32"/>
          <w:szCs w:val="32"/>
        </w:rPr>
        <w:t>公开的</w:t>
      </w:r>
      <w:r>
        <w:rPr>
          <w:rFonts w:hint="eastAsia" w:ascii="仿宋_GB2312" w:eastAsia="仿宋_GB2312"/>
          <w:sz w:val="32"/>
          <w:szCs w:val="32"/>
          <w:lang w:eastAsia="zh-CN"/>
        </w:rPr>
        <w:t>目标</w:t>
      </w:r>
      <w:r>
        <w:rPr>
          <w:rFonts w:hint="eastAsia" w:ascii="仿宋_GB2312" w:eastAsia="仿宋_GB2312"/>
          <w:sz w:val="32"/>
          <w:szCs w:val="32"/>
        </w:rPr>
        <w:t>任务和长远</w:t>
      </w:r>
      <w:r>
        <w:rPr>
          <w:rFonts w:hint="eastAsia" w:ascii="仿宋_GB2312" w:eastAsia="仿宋_GB2312"/>
          <w:sz w:val="32"/>
          <w:szCs w:val="32"/>
          <w:lang w:eastAsia="zh-CN"/>
        </w:rPr>
        <w:t>规划</w:t>
      </w:r>
      <w:r>
        <w:rPr>
          <w:rFonts w:hint="eastAsia" w:ascii="仿宋_GB2312" w:eastAsia="仿宋_GB2312"/>
          <w:sz w:val="32"/>
          <w:szCs w:val="32"/>
        </w:rPr>
        <w:t>需要，在现有的基础上，配足配齐业务人员，并加强业务培训，不断提升单位政务公开工作队伍的综合素质和业务能力。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560" w:lineRule="exact"/>
        <w:ind w:leftChars="0" w:firstLine="960" w:firstLineChars="300"/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  <w:lang w:eastAsia="zh-CN"/>
        </w:rPr>
        <w:t>六、</w:t>
      </w: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其他需要报告的事项</w:t>
      </w:r>
    </w:p>
    <w:p>
      <w:pPr>
        <w:pStyle w:val="3"/>
        <w:keepNext w:val="0"/>
        <w:keepLines w:val="0"/>
        <w:widowControl/>
        <w:suppressLineNumbers w:val="0"/>
        <w:spacing w:before="30" w:beforeAutospacing="0" w:after="30" w:afterAutospacing="0"/>
        <w:ind w:right="0" w:firstLine="640" w:firstLineChars="200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无。</w:t>
      </w:r>
    </w:p>
    <w:p>
      <w:pPr>
        <w:pStyle w:val="3"/>
        <w:keepNext w:val="0"/>
        <w:keepLines w:val="0"/>
        <w:widowControl/>
        <w:suppressLineNumbers w:val="0"/>
        <w:spacing w:before="30" w:beforeAutospacing="0" w:after="30" w:afterAutospacing="0"/>
        <w:ind w:right="0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石城县医疗保障局 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2020年1月13日</w:t>
      </w:r>
    </w:p>
    <w:p>
      <w:pPr>
        <w:pStyle w:val="2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C606BC"/>
    <w:multiLevelType w:val="singleLevel"/>
    <w:tmpl w:val="50C606B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13441"/>
    <w:rsid w:val="0AF53DD9"/>
    <w:rsid w:val="0BAA6CEA"/>
    <w:rsid w:val="0BF0515F"/>
    <w:rsid w:val="0E6B1F59"/>
    <w:rsid w:val="0EE66AAD"/>
    <w:rsid w:val="0F0E0E49"/>
    <w:rsid w:val="124E1AEB"/>
    <w:rsid w:val="13E12274"/>
    <w:rsid w:val="15F41C15"/>
    <w:rsid w:val="1A5E37A4"/>
    <w:rsid w:val="1A721C0A"/>
    <w:rsid w:val="21FF0606"/>
    <w:rsid w:val="25A00BD5"/>
    <w:rsid w:val="2FC52A9D"/>
    <w:rsid w:val="307B0568"/>
    <w:rsid w:val="365037AB"/>
    <w:rsid w:val="3FCF449B"/>
    <w:rsid w:val="434918B6"/>
    <w:rsid w:val="4633672B"/>
    <w:rsid w:val="46A47B86"/>
    <w:rsid w:val="49897121"/>
    <w:rsid w:val="62485969"/>
    <w:rsid w:val="6267365E"/>
    <w:rsid w:val="666364F5"/>
    <w:rsid w:val="69D822CF"/>
    <w:rsid w:val="6A531956"/>
    <w:rsid w:val="727247A1"/>
    <w:rsid w:val="7351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109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稳健少年爱撕逼</cp:lastModifiedBy>
  <dcterms:modified xsi:type="dcterms:W3CDTF">2020-01-16T03:35:44Z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