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黑体" w:hAnsi="黑体" w:eastAsia="黑体" w:cs="黑体"/>
          <w:sz w:val="44"/>
          <w:szCs w:val="44"/>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黑体" w:hAnsi="黑体" w:eastAsia="黑体" w:cs="黑体"/>
          <w:sz w:val="44"/>
          <w:szCs w:val="44"/>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黑体" w:hAnsi="黑体" w:eastAsia="黑体" w:cs="黑体"/>
          <w:sz w:val="44"/>
          <w:szCs w:val="44"/>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黑体" w:hAnsi="黑体" w:eastAsia="黑体" w:cs="黑体"/>
          <w:sz w:val="44"/>
          <w:szCs w:val="44"/>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黑体" w:hAnsi="黑体" w:eastAsia="黑体" w:cs="黑体"/>
          <w:sz w:val="44"/>
          <w:szCs w:val="44"/>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黑体" w:hAnsi="黑体" w:eastAsia="黑体" w:cs="黑体"/>
          <w:sz w:val="44"/>
          <w:szCs w:val="44"/>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黑体" w:hAnsi="黑体" w:eastAsia="黑体" w:cs="黑体"/>
          <w:sz w:val="44"/>
          <w:szCs w:val="44"/>
        </w:rPr>
      </w:pPr>
    </w:p>
    <w:p>
      <w:pPr>
        <w:keepNext w:val="0"/>
        <w:keepLines w:val="0"/>
        <w:pageBreakBefore w:val="0"/>
        <w:widowControl w:val="0"/>
        <w:kinsoku/>
        <w:wordWrap/>
        <w:overflowPunct/>
        <w:topLinePunct w:val="0"/>
        <w:autoSpaceDE/>
        <w:autoSpaceDN/>
        <w:bidi w:val="0"/>
        <w:adjustRightInd/>
        <w:jc w:val="center"/>
        <w:textAlignment w:val="auto"/>
        <w:rPr>
          <w:rFonts w:hint="eastAsia" w:ascii="仿宋_GB2312" w:eastAsia="仿宋_GB2312"/>
          <w:bCs/>
          <w:sz w:val="36"/>
          <w:szCs w:val="36"/>
        </w:rPr>
      </w:pPr>
      <w:r>
        <w:rPr>
          <w:rFonts w:hint="eastAsia" w:ascii="仿宋_GB2312" w:eastAsia="仿宋_GB2312"/>
          <w:bCs/>
          <w:sz w:val="36"/>
          <w:szCs w:val="36"/>
        </w:rPr>
        <w:t>松</w:t>
      </w:r>
      <w:r>
        <w:rPr>
          <w:rFonts w:hint="eastAsia" w:ascii="仿宋_GB2312" w:eastAsia="仿宋_GB2312"/>
          <w:bCs/>
          <w:sz w:val="36"/>
          <w:szCs w:val="36"/>
          <w:lang w:eastAsia="zh-CN"/>
        </w:rPr>
        <w:t>府发</w:t>
      </w:r>
      <w:r>
        <w:rPr>
          <w:rFonts w:hint="eastAsia" w:ascii="仿宋_GB2312" w:hAnsi="仿宋_GB2312" w:eastAsia="仿宋_GB2312" w:cs="仿宋_GB2312"/>
          <w:sz w:val="36"/>
          <w:szCs w:val="36"/>
        </w:rPr>
        <w:t>〔</w:t>
      </w:r>
      <w:r>
        <w:rPr>
          <w:rFonts w:hint="eastAsia" w:ascii="仿宋_GB2312" w:hAnsi="宋体" w:eastAsia="仿宋_GB2312" w:cs="宋体"/>
          <w:sz w:val="36"/>
          <w:szCs w:val="36"/>
        </w:rPr>
        <w:t>20</w:t>
      </w:r>
      <w:r>
        <w:rPr>
          <w:rFonts w:hint="eastAsia" w:ascii="仿宋_GB2312" w:hAnsi="宋体" w:eastAsia="仿宋_GB2312" w:cs="宋体"/>
          <w:sz w:val="36"/>
          <w:szCs w:val="36"/>
          <w:lang w:val="en-US" w:eastAsia="zh-CN"/>
        </w:rPr>
        <w:t>21</w:t>
      </w:r>
      <w:r>
        <w:rPr>
          <w:rFonts w:hint="eastAsia" w:ascii="仿宋_GB2312" w:hAnsi="仿宋_GB2312" w:eastAsia="仿宋_GB2312" w:cs="仿宋_GB2312"/>
          <w:sz w:val="36"/>
          <w:szCs w:val="36"/>
        </w:rPr>
        <w:t>〕</w:t>
      </w:r>
      <w:r>
        <w:rPr>
          <w:rFonts w:hint="eastAsia" w:ascii="仿宋_GB2312" w:hAnsi="仿宋_GB2312" w:eastAsia="仿宋_GB2312" w:cs="仿宋_GB2312"/>
          <w:sz w:val="36"/>
          <w:szCs w:val="36"/>
          <w:lang w:val="en-US" w:eastAsia="zh-CN"/>
        </w:rPr>
        <w:t>4</w:t>
      </w:r>
      <w:r>
        <w:rPr>
          <w:rFonts w:hint="eastAsia" w:ascii="仿宋_GB2312" w:eastAsia="仿宋_GB2312"/>
          <w:bCs/>
          <w:sz w:val="36"/>
          <w:szCs w:val="36"/>
        </w:rPr>
        <w:t>号</w:t>
      </w: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黑体" w:hAnsi="黑体" w:eastAsia="黑体" w:cs="黑体"/>
          <w:sz w:val="44"/>
          <w:szCs w:val="44"/>
        </w:rPr>
      </w:pP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黑体" w:hAnsi="黑体" w:eastAsia="黑体" w:cs="黑体"/>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小松镇人民政府关于印发</w:t>
      </w:r>
      <w:r>
        <w:rPr>
          <w:rFonts w:hint="eastAsia" w:ascii="方正小标宋简体" w:hAnsi="方正小标宋简体" w:eastAsia="方正小标宋简体" w:cs="方正小标宋简体"/>
          <w:sz w:val="44"/>
          <w:szCs w:val="44"/>
        </w:rPr>
        <w:t>小松镇</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护林员考核管理办法</w:t>
      </w:r>
      <w:r>
        <w:rPr>
          <w:rFonts w:hint="eastAsia" w:ascii="方正小标宋简体" w:hAnsi="方正小标宋简体" w:eastAsia="方正小标宋简体" w:cs="方正小标宋简体"/>
          <w:sz w:val="44"/>
          <w:szCs w:val="44"/>
          <w:lang w:eastAsia="zh-CN"/>
        </w:rPr>
        <w:t>的通知</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val="0"/>
        <w:snapToGrid/>
        <w:spacing w:line="560" w:lineRule="exact"/>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各村委会：</w:t>
      </w:r>
    </w:p>
    <w:p>
      <w:pPr>
        <w:keepNext w:val="0"/>
        <w:keepLines w:val="0"/>
        <w:pageBreakBefore w:val="0"/>
        <w:widowControl w:val="0"/>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经研究，现将《小松镇护林员考核管理办法》印发给你们，请对照文件要求，抓好贯彻落实。</w:t>
      </w:r>
    </w:p>
    <w:p>
      <w:pPr>
        <w:keepNext w:val="0"/>
        <w:keepLines w:val="0"/>
        <w:pageBreakBefore w:val="0"/>
        <w:widowControl w:val="0"/>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val="0"/>
        <w:snapToGrid/>
        <w:spacing w:line="560" w:lineRule="exact"/>
        <w:ind w:left="0" w:firstLine="4800" w:firstLineChars="15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小松镇人民政府</w:t>
      </w:r>
    </w:p>
    <w:p>
      <w:pPr>
        <w:keepNext w:val="0"/>
        <w:keepLines w:val="0"/>
        <w:pageBreakBefore w:val="0"/>
        <w:widowControl w:val="0"/>
        <w:kinsoku/>
        <w:wordWrap/>
        <w:overflowPunct/>
        <w:topLinePunct w:val="0"/>
        <w:autoSpaceDE/>
        <w:autoSpaceDN/>
        <w:bidi w:val="0"/>
        <w:adjustRightInd w:val="0"/>
        <w:snapToGrid/>
        <w:spacing w:line="560" w:lineRule="exact"/>
        <w:ind w:left="0" w:firstLine="4800" w:firstLineChars="15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2021年9月10日</w:t>
      </w:r>
    </w:p>
    <w:p>
      <w:pPr>
        <w:keepNext w:val="0"/>
        <w:keepLines w:val="0"/>
        <w:pageBreakBefore w:val="0"/>
        <w:widowControl w:val="0"/>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小松镇护林员考核管理办法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为加强护林队伍的建设和管理，规范护林员的行为，保障森林资源安全，积极推进生态文明建设和乡村振兴战略，实现护林员的规范化管理，达到“山有人管，林有人护，火有人防，责有人担”的目的，根据上级林业部门的有关规定，结合我镇实际，特制定本管理办法，作为护林员日常管理、工资发放、奖惩兑现、评先评优及续聘、解聘的重要依据。</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jc w:val="lef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一、本管理办法所称的护林员包括公益林护林员、天然林保护护林员和建档立卡贫困人口生态护林员。</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jc w:val="left"/>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二、护林员的主要职责</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1.积极宣传国家林业政策及法律法规，宣传公益林、天保林管理规定、森林防火知识等；</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2.使用巡护APP开展日常巡护，重点防火期每天巡护（除整天下雨天），非重点防火期每月巡护20天以上，每天巡护不得少于2小时，并做好巡护记录。</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3.加强野外火源管理，制止违规用火行为，及时清除林火隐患，发现火情及时报告并积极协助扑救。</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4.做好森林病虫害监测，发现病虫灾害和枯死松树及时报告并积极协助防治。</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5.制止乱挖滥占林地、乱砍滥伐林木、乱捕滥猎野生动物、乱采滥挖野生植物及古树名木等各类破坏森林资源行为，并及时报告。</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6.协助执法部门查处林业违法案件。</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7.协助做好森林资源调查、森林督查图斑核查、掌握森林资源动态变化情况，及时报告山体滑坡、泥石流、冰雪灾害时森林资源的危害。</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8.定期向村级林长和监管员汇报日常管护情况。</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9.维护好各种林业服务标识设施。</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10.接受林业部门、镇政府、村委会的指导和管理，做好管护聘用合同规定的工作和临时交办的任务。</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三、镇林长办负责对护林员的出勤、管护情况进行检查、督促督查、考核。考核结果作为护林员的</w:t>
      </w:r>
      <w:r>
        <w:rPr>
          <w:rFonts w:hint="eastAsia" w:ascii="仿宋_GB2312" w:hAnsi="仿宋_GB2312" w:eastAsia="仿宋_GB2312" w:cs="仿宋_GB2312"/>
          <w:sz w:val="32"/>
          <w:szCs w:val="32"/>
          <w:lang w:eastAsia="zh-CN"/>
        </w:rPr>
        <w:t>工资发放、奖惩兑现、评先评优及续聘、解聘的重要依据。</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四、考核内容及评分标准（共</w:t>
      </w:r>
      <w:r>
        <w:rPr>
          <w:rFonts w:hint="eastAsia" w:ascii="黑体" w:hAnsi="黑体" w:eastAsia="黑体" w:cs="黑体"/>
          <w:b w:val="0"/>
          <w:bCs w:val="0"/>
          <w:sz w:val="32"/>
          <w:szCs w:val="32"/>
          <w:lang w:val="en-US" w:eastAsia="zh-CN"/>
        </w:rPr>
        <w:t>100分</w:t>
      </w:r>
      <w:r>
        <w:rPr>
          <w:rFonts w:hint="eastAsia" w:ascii="黑体" w:hAnsi="黑体" w:eastAsia="黑体" w:cs="黑体"/>
          <w:b w:val="0"/>
          <w:bCs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（一）政策宣传（5分）</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按照要求宣传森林防火等林业法律、法规及上级林业政策，计5分；如宣传工作不到位或林业宣传碑牌遭到破坏的，酌情扣分。</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（二）巡查出勤（40分）</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1.参加会议及外出能请销假的，计5分，迟到早退一次会议扣2分，缺席会议的一次扣4分，无故离岗外出1天的不得分。</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2.台帐记录完整、清楚、记载内容真实可靠，计5分，记录不完整、内容不实的，酌情扣分。</w:t>
      </w:r>
    </w:p>
    <w:p>
      <w:pPr>
        <w:keepNext w:val="0"/>
        <w:keepLines w:val="0"/>
        <w:pageBreakBefore w:val="0"/>
        <w:widowControl w:val="0"/>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sz w:val="32"/>
          <w:szCs w:val="32"/>
          <w:lang w:val="en-US" w:eastAsia="zh-CN"/>
        </w:rPr>
        <w:t>3.每月使用巡护APP出勤率100%计30分。出勤率每少一个百分点扣1分；</w:t>
      </w:r>
      <w:r>
        <w:rPr>
          <w:rFonts w:hint="eastAsia" w:ascii="仿宋_GB2312" w:hAnsi="仿宋_GB2312" w:eastAsia="仿宋_GB2312" w:cs="仿宋_GB2312"/>
          <w:bCs/>
          <w:sz w:val="32"/>
          <w:szCs w:val="32"/>
          <w:lang w:val="en-US" w:eastAsia="zh-CN"/>
        </w:rPr>
        <w:t>县、镇抽查未使用APP的每通报一次扣10分；整月未使用巡护APP的扣发当月全额工资并予以解聘。督查不在岗</w:t>
      </w:r>
      <w:r>
        <w:rPr>
          <w:rFonts w:hint="eastAsia" w:ascii="仿宋_GB2312" w:hAnsi="仿宋_GB2312" w:eastAsia="仿宋_GB2312" w:cs="仿宋_GB2312"/>
          <w:sz w:val="32"/>
          <w:szCs w:val="32"/>
          <w:lang w:val="en-US" w:eastAsia="zh-CN"/>
        </w:rPr>
        <w:t>或在岗未佩带袖标及穿短袖短裤和凉鞋、拖鞋</w:t>
      </w:r>
      <w:r>
        <w:rPr>
          <w:rFonts w:hint="eastAsia" w:ascii="仿宋_GB2312" w:hAnsi="仿宋_GB2312" w:eastAsia="仿宋_GB2312" w:cs="仿宋_GB2312"/>
          <w:bCs/>
          <w:sz w:val="32"/>
          <w:szCs w:val="32"/>
          <w:lang w:val="en-US" w:eastAsia="zh-CN"/>
        </w:rPr>
        <w:t>的每次扣4分。</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（三）森林防火（30分）</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leftChars="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严格野外用火管理，责任区季度内野外用火、火警（灾），计30分。发现一起野外用火的扣2分；生一次火警，能及时报告并配合林业主管部门破案的扣3分，不及时报告或不配合林业主管部门破案的扣6分；发生一次火灾，能及时报告并配合林业主管部门破案的扣12分，不及时报告或不配合林业主管部门破案的扣24分；发生重（特）大火灾的扣30分。责任区外起火，殃及责任区的火灾扣分按责任区内的标准减半扣分。</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（四）林政管理（25分）</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责任区当月无乱砍滥伐、乱采滥挖、乱捕滥猎、毁林开垦等破坏生态公益林行为的，计10分。责任区内有上述事件发生，能及时报告并配合林业主管部门破案的扣5分，不及时报告或不配合林业主管部门破案的或属刑事案件的不得分。</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2.责任区内当月无非法征占用林地事件的，计10分；责任区内有非法征占用林地事件发生，能及时报告并配合林业主管部门破案的，扣5分；不及时报告或不配合林业主管部门破案的或属刑事案件的不得分。</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3.协助做好森林病虫害监测和防治工作，及时报告责任区内森林病虫害的发生和危害情况以及枯死松树情况的，计5分。对隐瞒不报或不配合森防部门工作的不得分。</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五、工资及奖惩</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3" w:firstLineChars="200"/>
        <w:jc w:val="left"/>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（一）工资发放：</w:t>
      </w:r>
      <w:r>
        <w:rPr>
          <w:rFonts w:hint="eastAsia" w:ascii="仿宋_GB2312" w:hAnsi="仿宋_GB2312" w:eastAsia="仿宋_GB2312" w:cs="仿宋_GB2312"/>
          <w:sz w:val="32"/>
          <w:szCs w:val="32"/>
          <w:lang w:val="en-US" w:eastAsia="zh-CN"/>
        </w:rPr>
        <w:t>以考核评分结果确定季度绩效工资，考核评分90分（含90分）以上的发给100%的绩效工资，80-89分的发给70%的绩效工资，低于80分的发给50%的绩效工资，评分低于60分的护林员予以解聘。</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（二）奖惩措施</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1.有下述情况之一的取消年终评选评优资格;</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（1）年终考核评分低于90分的;</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（2）护林员巡护应用使用率被县、镇抽查不达标通报；</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（3）督查3次不在岗的，并第一次处罚300元，第二次处罚500元，第三次直接解聘;</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（4）10天内辖区内发生3人次以上野外用火的;</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（5）辖区内发生森林火灾的;</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（6）辖区内发现违法”炼山”的;</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2.对符合年终评审条件的护林员年终考核评分在95分以上的护林员,给予每位护林员500元奖励。并按30%的比例评选最美护林员,并给予每位最美护林员500元奖励,同时颁发护林员荣誉证书。</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3.责任区的护林员发现并报告野外用火,配合镇、村查处的给予一定的奖励。</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六、该考核管理办法自2021年9月15日起执行。</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0" w:firstLine="640" w:firstLineChars="20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160" w:lineRule="exact"/>
        <w:ind w:left="0" w:firstLine="0" w:firstLineChars="0"/>
        <w:jc w:val="lef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60" w:lineRule="exact"/>
        <w:ind w:left="0" w:leftChars="0" w:firstLine="0" w:firstLineChars="0"/>
        <w:textAlignment w:val="auto"/>
        <w:outlineLvl w:val="9"/>
        <w:rPr>
          <w:rFonts w:hint="eastAsia" w:ascii="仿宋" w:hAnsi="仿宋" w:eastAsia="仿宋_GB2312"/>
          <w:sz w:val="32"/>
          <w:szCs w:val="32"/>
        </w:rPr>
      </w:pPr>
    </w:p>
    <w:p>
      <w:pPr>
        <w:keepNext w:val="0"/>
        <w:keepLines w:val="0"/>
        <w:pageBreakBefore w:val="0"/>
        <w:widowControl w:val="0"/>
        <w:kinsoku/>
        <w:wordWrap/>
        <w:overflowPunct/>
        <w:topLinePunct w:val="0"/>
        <w:autoSpaceDE/>
        <w:autoSpaceDN/>
        <w:bidi w:val="0"/>
        <w:adjustRightInd/>
        <w:snapToGrid/>
        <w:spacing w:line="160" w:lineRule="exact"/>
        <w:ind w:left="0" w:leftChars="0" w:firstLine="0" w:firstLineChars="0"/>
        <w:textAlignment w:val="auto"/>
        <w:outlineLvl w:val="9"/>
        <w:rPr>
          <w:rFonts w:hint="eastAsia" w:ascii="仿宋" w:hAnsi="仿宋" w:eastAsia="仿宋_GB2312"/>
          <w:sz w:val="32"/>
          <w:szCs w:val="32"/>
        </w:rPr>
      </w:pPr>
    </w:p>
    <w:p>
      <w:pPr>
        <w:keepNext w:val="0"/>
        <w:keepLines w:val="0"/>
        <w:pageBreakBefore w:val="0"/>
        <w:widowControl w:val="0"/>
        <w:kinsoku/>
        <w:wordWrap/>
        <w:overflowPunct/>
        <w:topLinePunct w:val="0"/>
        <w:autoSpaceDE/>
        <w:autoSpaceDN/>
        <w:bidi w:val="0"/>
        <w:adjustRightInd/>
        <w:snapToGrid/>
        <w:spacing w:line="160" w:lineRule="exact"/>
        <w:ind w:left="0" w:leftChars="0" w:firstLine="0" w:firstLineChars="0"/>
        <w:textAlignment w:val="auto"/>
        <w:outlineLvl w:val="9"/>
        <w:rPr>
          <w:rFonts w:hint="eastAsia" w:ascii="仿宋" w:hAnsi="仿宋" w:eastAsia="仿宋_GB2312"/>
          <w:sz w:val="32"/>
          <w:szCs w:val="32"/>
        </w:rPr>
      </w:pPr>
    </w:p>
    <w:p>
      <w:pPr>
        <w:keepNext w:val="0"/>
        <w:keepLines w:val="0"/>
        <w:pageBreakBefore w:val="0"/>
        <w:widowControl w:val="0"/>
        <w:kinsoku/>
        <w:wordWrap/>
        <w:overflowPunct/>
        <w:topLinePunct w:val="0"/>
        <w:autoSpaceDE/>
        <w:autoSpaceDN/>
        <w:bidi w:val="0"/>
        <w:adjustRightInd/>
        <w:snapToGrid/>
        <w:spacing w:line="160" w:lineRule="exact"/>
        <w:ind w:left="0" w:leftChars="0" w:firstLine="0" w:firstLineChars="0"/>
        <w:textAlignment w:val="auto"/>
        <w:outlineLvl w:val="9"/>
        <w:rPr>
          <w:rFonts w:hint="eastAsia" w:ascii="仿宋" w:hAnsi="仿宋" w:eastAsia="仿宋_GB2312"/>
          <w:sz w:val="32"/>
          <w:szCs w:val="32"/>
        </w:rPr>
      </w:pPr>
    </w:p>
    <w:p>
      <w:pPr>
        <w:keepNext w:val="0"/>
        <w:keepLines w:val="0"/>
        <w:pageBreakBefore w:val="0"/>
        <w:widowControl w:val="0"/>
        <w:kinsoku/>
        <w:wordWrap/>
        <w:overflowPunct/>
        <w:topLinePunct w:val="0"/>
        <w:autoSpaceDE/>
        <w:autoSpaceDN/>
        <w:bidi w:val="0"/>
        <w:adjustRightInd/>
        <w:snapToGrid/>
        <w:spacing w:line="160" w:lineRule="exact"/>
        <w:ind w:left="0" w:leftChars="0" w:firstLine="0" w:firstLineChars="0"/>
        <w:textAlignment w:val="auto"/>
        <w:outlineLvl w:val="9"/>
        <w:rPr>
          <w:rFonts w:hint="eastAsia" w:ascii="仿宋" w:hAnsi="仿宋" w:eastAsia="仿宋_GB2312"/>
          <w:sz w:val="32"/>
          <w:szCs w:val="32"/>
        </w:rPr>
      </w:pPr>
    </w:p>
    <w:p>
      <w:pPr>
        <w:keepNext w:val="0"/>
        <w:keepLines w:val="0"/>
        <w:pageBreakBefore w:val="0"/>
        <w:widowControl w:val="0"/>
        <w:shd w:val="clear" w:color="auto" w:fill="FFFFFF"/>
        <w:kinsoku/>
        <w:wordWrap/>
        <w:overflowPunct/>
        <w:topLinePunct w:val="0"/>
        <w:autoSpaceDE/>
        <w:autoSpaceDN/>
        <w:bidi w:val="0"/>
        <w:adjustRightInd/>
        <w:snapToGrid w:val="0"/>
        <w:spacing w:line="540" w:lineRule="exact"/>
        <w:ind w:left="210" w:leftChars="100" w:right="210" w:rightChars="100" w:firstLine="0"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28"/>
          <w:szCs w:val="28"/>
          <w:lang w:val="en-US" w:eastAsia="zh-CN" w:bidi="ar-SA"/>
        </w:rPr>
        <mc:AlternateContent>
          <mc:Choice Requires="wps">
            <w:drawing>
              <wp:anchor distT="0" distB="0" distL="114300" distR="114300" simplePos="0" relativeHeight="251660288" behindDoc="0" locked="0" layoutInCell="1" allowOverlap="1">
                <wp:simplePos x="0" y="0"/>
                <wp:positionH relativeFrom="column">
                  <wp:posOffset>17145</wp:posOffset>
                </wp:positionH>
                <wp:positionV relativeFrom="paragraph">
                  <wp:posOffset>373380</wp:posOffset>
                </wp:positionV>
                <wp:extent cx="5555615" cy="3175"/>
                <wp:effectExtent l="0" t="0" r="0" b="0"/>
                <wp:wrapNone/>
                <wp:docPr id="4" name="直接箭头连接符 4"/>
                <wp:cNvGraphicFramePr/>
                <a:graphic xmlns:a="http://schemas.openxmlformats.org/drawingml/2006/main">
                  <a:graphicData uri="http://schemas.microsoft.com/office/word/2010/wordprocessingShape">
                    <wps:wsp>
                      <wps:cNvCnPr/>
                      <wps:spPr>
                        <a:xfrm flipV="1">
                          <a:off x="0" y="0"/>
                          <a:ext cx="5555615" cy="3175"/>
                        </a:xfrm>
                        <a:prstGeom prst="straightConnector1">
                          <a:avLst/>
                        </a:prstGeom>
                        <a:ln w="15875" cap="flat" cmpd="sng">
                          <a:solidFill>
                            <a:srgbClr val="000000"/>
                          </a:solidFill>
                          <a:prstDash val="solid"/>
                          <a:round/>
                          <a:headEnd type="none" w="med" len="med"/>
                          <a:tailEnd type="none" w="med" len="med"/>
                        </a:ln>
                        <a:effectLst/>
                      </wps:spPr>
                      <wps:bodyPr/>
                    </wps:wsp>
                  </a:graphicData>
                </a:graphic>
              </wp:anchor>
            </w:drawing>
          </mc:Choice>
          <mc:Fallback>
            <w:pict>
              <v:shape id="_x0000_s1026" o:spid="_x0000_s1026" o:spt="32" type="#_x0000_t32" style="position:absolute;left:0pt;flip:y;margin-left:1.35pt;margin-top:29.4pt;height:0.25pt;width:437.45pt;z-index:251660288;mso-width-relative:page;mso-height-relative:page;" filled="f" stroked="t" coordsize="21600,21600" o:gfxdata="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5d//iNcAAAAHAQAADwAAAAAAAAABACAA&#10;AAAiAAAAZHJzL2Rvd25yZXYueG1sUEsBAhQAFAAAAAgAh07iQNzHyFEOAgAAEgQAAA4AAAAAAAAA&#10;AQAgAAAAJgEAAGRycy9lMm9Eb2MueG1sUEsFBgAAAAAGAAYAWQEAAKYFAAAAAA==&#10;">
                <v:fill on="f" focussize="0,0"/>
                <v:stroke weight="1.25pt" color="#000000" joinstyle="round"/>
                <v:imagedata o:title=""/>
                <o:lock v:ext="edit" aspectratio="f"/>
              </v:shape>
            </w:pict>
          </mc:Fallback>
        </mc:AlternateContent>
      </w:r>
      <w:r>
        <w:rPr>
          <w:rFonts w:hint="eastAsia" w:ascii="仿宋_GB2312" w:hAnsi="仿宋_GB2312" w:eastAsia="仿宋_GB2312" w:cs="仿宋_GB2312"/>
          <w:kern w:val="2"/>
          <w:sz w:val="28"/>
          <w:szCs w:val="28"/>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35560</wp:posOffset>
                </wp:positionH>
                <wp:positionV relativeFrom="paragraph">
                  <wp:posOffset>33655</wp:posOffset>
                </wp:positionV>
                <wp:extent cx="5524500" cy="11430"/>
                <wp:effectExtent l="0" t="0" r="0" b="0"/>
                <wp:wrapNone/>
                <wp:docPr id="3" name="直接箭头连接符 3"/>
                <wp:cNvGraphicFramePr/>
                <a:graphic xmlns:a="http://schemas.openxmlformats.org/drawingml/2006/main">
                  <a:graphicData uri="http://schemas.microsoft.com/office/word/2010/wordprocessingShape">
                    <wps:wsp>
                      <wps:cNvCnPr/>
                      <wps:spPr>
                        <a:xfrm>
                          <a:off x="0" y="0"/>
                          <a:ext cx="5524500" cy="11430"/>
                        </a:xfrm>
                        <a:prstGeom prst="straightConnector1">
                          <a:avLst/>
                        </a:prstGeom>
                        <a:ln w="15875" cap="flat" cmpd="sng">
                          <a:solidFill>
                            <a:srgbClr val="000000"/>
                          </a:solidFill>
                          <a:prstDash val="solid"/>
                          <a:round/>
                          <a:headEnd type="none" w="med" len="med"/>
                          <a:tailEnd type="none" w="med" len="med"/>
                        </a:ln>
                        <a:effectLst/>
                      </wps:spPr>
                      <wps:bodyPr/>
                    </wps:wsp>
                  </a:graphicData>
                </a:graphic>
              </wp:anchor>
            </w:drawing>
          </mc:Choice>
          <mc:Fallback>
            <w:pict>
              <v:shape id="_x0000_s1026" o:spid="_x0000_s1026" o:spt="32" type="#_x0000_t32" style="position:absolute;left:0pt;margin-left:2.8pt;margin-top:2.65pt;height:0.9pt;width:435pt;z-index:251659264;mso-width-relative:page;mso-height-relative:page;" filled="f" stroked="t" coordsize="21600,21600" o:gfxdata="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jgJ1AAAAAUBAAAPAAAAAAAAAAEAIAAAACIA&#10;AABkcnMvZG93bnJldi54bWxQSwECFAAUAAAACACHTuJASv6icQ0CAAAJBAAADgAAAAAAAAABACAA&#10;AAAjAQAAZHJzL2Uyb0RvYy54bWxQSwUGAAAAAAYABgBZAQAAogUAAAAA&#10;">
                <v:fill on="f" focussize="0,0"/>
                <v:stroke weight="1.25pt" color="#000000" joinstyle="round"/>
                <v:imagedata o:title=""/>
                <o:lock v:ext="edit" aspectratio="f"/>
              </v:shape>
            </w:pict>
          </mc:Fallback>
        </mc:AlternateContent>
      </w:r>
      <w:r>
        <w:rPr>
          <w:rFonts w:hint="eastAsia" w:ascii="仿宋_GB2312" w:hAnsi="仿宋_GB2312" w:eastAsia="仿宋_GB2312" w:cs="仿宋_GB2312"/>
          <w:kern w:val="2"/>
          <w:sz w:val="28"/>
          <w:szCs w:val="28"/>
          <w:lang w:val="en-US" w:eastAsia="zh-CN" w:bidi="ar-SA"/>
        </w:rPr>
        <w:t>小松镇党政办公室                        2021年9月10日印发</w:t>
      </w:r>
    </w:p>
    <w:sectPr>
      <w:footerReference r:id="rId3" w:type="default"/>
      <w:pgSz w:w="11906" w:h="16838"/>
      <w:pgMar w:top="2098" w:right="1587"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E82448"/>
    <w:rsid w:val="0E7039A4"/>
    <w:rsid w:val="0EB746C6"/>
    <w:rsid w:val="13F5740D"/>
    <w:rsid w:val="1F4A355F"/>
    <w:rsid w:val="2C086F72"/>
    <w:rsid w:val="2F341274"/>
    <w:rsid w:val="451C3052"/>
    <w:rsid w:val="56A91DBF"/>
    <w:rsid w:val="5A456654"/>
    <w:rsid w:val="5E657532"/>
    <w:rsid w:val="62E373A4"/>
    <w:rsid w:val="67C322F0"/>
    <w:rsid w:val="69D926B5"/>
    <w:rsid w:val="6CE34178"/>
    <w:rsid w:val="6E7C5952"/>
    <w:rsid w:val="7FAC27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2021-07-01T06:12:00Z</dcterms:created>
  <dc:creator>Administrator</dc:creator>
  <cp:lastModifiedBy>Administrator</cp:lastModifiedBy>
  <cp:lastPrinted>2021-09-14T07:22:13Z</cp:lastPrinted>
  <dcterms:modified xsi:type="dcterms:W3CDTF">2021-09-14T07:22:42Z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9E929E532EAB4DCDBF9D2F6FB8D91118</vt:lpwstr>
  </property>
</Properties>
</file>