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D2F87">
      <w:pPr>
        <w:spacing w:line="340" w:lineRule="exact"/>
        <w:ind w:firstLine="312" w:firstLineChars="100"/>
        <w:rPr>
          <w:rFonts w:hint="eastAsia" w:ascii="仿宋_GB2312" w:eastAsia="仿宋_GB2312"/>
          <w:spacing w:val="-4"/>
          <w:sz w:val="32"/>
          <w:szCs w:val="32"/>
        </w:rPr>
      </w:pPr>
    </w:p>
    <w:p w14:paraId="0E79C96C">
      <w:pPr>
        <w:spacing w:line="340" w:lineRule="exact"/>
        <w:ind w:firstLine="312" w:firstLineChars="100"/>
        <w:rPr>
          <w:rFonts w:hint="eastAsia" w:ascii="仿宋_GB2312" w:eastAsia="仿宋_GB2312"/>
          <w:spacing w:val="-4"/>
          <w:sz w:val="32"/>
          <w:szCs w:val="32"/>
        </w:rPr>
      </w:pPr>
    </w:p>
    <w:p w14:paraId="3B664844">
      <w:pPr>
        <w:spacing w:line="590" w:lineRule="exact"/>
        <w:jc w:val="center"/>
        <w:rPr>
          <w:rFonts w:hint="eastAsia" w:ascii="楷体_GB2312" w:eastAsia="楷体_GB2312"/>
          <w:spacing w:val="-4"/>
          <w:sz w:val="32"/>
          <w:szCs w:val="32"/>
        </w:rPr>
      </w:pPr>
      <w:r>
        <w:rPr>
          <w:rFonts w:hint="eastAsia" w:ascii="仿宋_GB2312" w:eastAsia="仿宋_GB2312"/>
          <w:spacing w:val="-4"/>
          <w:sz w:val="32"/>
          <w:szCs w:val="32"/>
        </w:rPr>
        <w:t>石府发〔2025〕4号</w:t>
      </w:r>
    </w:p>
    <w:p w14:paraId="7F0529A2">
      <w:pPr>
        <w:spacing w:line="590" w:lineRule="exact"/>
        <w:rPr>
          <w:rFonts w:hint="eastAsia" w:ascii="仿宋_GB2312" w:eastAsia="仿宋_GB2312"/>
          <w:spacing w:val="-4"/>
          <w:sz w:val="32"/>
          <w:szCs w:val="32"/>
        </w:rPr>
      </w:pPr>
    </w:p>
    <w:p w14:paraId="6E6A7BA3">
      <w:pPr>
        <w:spacing w:line="590" w:lineRule="exact"/>
        <w:rPr>
          <w:rFonts w:hint="eastAsia" w:ascii="方正小标宋简体" w:eastAsia="方正小标宋简体"/>
          <w:spacing w:val="-4"/>
          <w:sz w:val="44"/>
          <w:szCs w:val="44"/>
        </w:rPr>
      </w:pPr>
    </w:p>
    <w:p w14:paraId="7AC7C692">
      <w:pPr>
        <w:spacing w:line="560" w:lineRule="exact"/>
        <w:jc w:val="center"/>
        <w:rPr>
          <w:rFonts w:hint="eastAsia" w:ascii="方正小标宋简体" w:hAnsi="方正小标宋简体" w:eastAsia="方正小标宋简体" w:cs="方正小标宋简体"/>
          <w:bCs/>
          <w:sz w:val="44"/>
          <w:szCs w:val="44"/>
        </w:rPr>
      </w:pPr>
      <w:bookmarkStart w:id="2" w:name="_GoBack"/>
      <w:r>
        <w:rPr>
          <w:rFonts w:hint="eastAsia" w:ascii="方正小标宋简体" w:hAnsi="方正小标宋简体" w:eastAsia="方正小标宋简体" w:cs="方正小标宋简体"/>
          <w:bCs/>
          <w:sz w:val="44"/>
          <w:szCs w:val="44"/>
        </w:rPr>
        <w:t>石城县人民政府关于规范</w:t>
      </w:r>
    </w:p>
    <w:p w14:paraId="6F4A6B7E">
      <w:pPr>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管理辖区内天然水域垂钓活动的通告</w:t>
      </w:r>
      <w:bookmarkEnd w:id="2"/>
    </w:p>
    <w:p w14:paraId="22D965E1">
      <w:pPr>
        <w:spacing w:line="560" w:lineRule="exact"/>
        <w:rPr>
          <w:rFonts w:hint="eastAsia" w:ascii="宋体" w:hAnsi="宋体" w:eastAsia="方正小标宋_GBK"/>
          <w:bCs/>
          <w:sz w:val="44"/>
          <w:szCs w:val="44"/>
        </w:rPr>
      </w:pPr>
    </w:p>
    <w:p w14:paraId="43BCE043">
      <w:pPr>
        <w:spacing w:line="560" w:lineRule="exact"/>
        <w:ind w:firstLine="640" w:firstLineChars="200"/>
        <w:rPr>
          <w:rFonts w:hint="eastAsia" w:ascii="宋体" w:hAnsi="宋体" w:eastAsia="仿宋_GB2312"/>
          <w:bCs/>
          <w:sz w:val="32"/>
          <w:szCs w:val="32"/>
        </w:rPr>
      </w:pPr>
      <w:r>
        <w:rPr>
          <w:rFonts w:hint="eastAsia" w:ascii="仿宋_GB2312" w:hAnsi="仿宋_GB2312" w:eastAsia="仿宋_GB2312" w:cs="仿宋_GB2312"/>
          <w:color w:val="000000"/>
          <w:sz w:val="32"/>
          <w:szCs w:val="32"/>
        </w:rPr>
        <w:t>为深入贯彻党中央、国务院长江流域重点水域禁捕退捕工作决策部署，严格落实《中华人民共和国长江保护法》《中华人民共和国渔业法》《中华人民共和国水污染防治法》《长江水生生物保护管理规定》和《江西省渔业条例》等法律法规规章规定，有效保护渔业资源，巩固禁捕退捕工作成效，现就规范管理辖区内天然水域垂钓活动的有关事项通告如下:</w:t>
      </w:r>
    </w:p>
    <w:p w14:paraId="1A97723E">
      <w:pPr>
        <w:spacing w:line="560" w:lineRule="exact"/>
        <w:ind w:firstLine="640" w:firstLineChars="200"/>
        <w:rPr>
          <w:rFonts w:hint="eastAsia" w:ascii="黑体" w:hAnsi="黑体" w:eastAsia="黑体"/>
          <w:sz w:val="32"/>
          <w:szCs w:val="32"/>
        </w:rPr>
      </w:pPr>
      <w:r>
        <w:rPr>
          <w:rFonts w:hint="eastAsia" w:ascii="黑体" w:hAnsi="黑体" w:eastAsia="黑体"/>
          <w:bCs/>
          <w:sz w:val="32"/>
          <w:szCs w:val="32"/>
        </w:rPr>
        <w:t>一、</w:t>
      </w:r>
      <w:r>
        <w:rPr>
          <w:rFonts w:hint="eastAsia" w:ascii="黑体" w:hAnsi="黑体" w:eastAsia="黑体"/>
          <w:sz w:val="32"/>
          <w:szCs w:val="32"/>
        </w:rPr>
        <w:t>禁钓区域</w:t>
      </w:r>
    </w:p>
    <w:p w14:paraId="6B49DD34">
      <w:pPr>
        <w:spacing w:line="560" w:lineRule="exact"/>
        <w:ind w:firstLine="640" w:firstLineChars="200"/>
        <w:rPr>
          <w:rFonts w:hint="eastAsia" w:ascii="宋体" w:hAnsi="宋体" w:eastAsia="仿宋_GB2312"/>
          <w:bCs/>
          <w:sz w:val="32"/>
          <w:szCs w:val="32"/>
        </w:rPr>
      </w:pPr>
      <w:r>
        <w:rPr>
          <w:rFonts w:hint="eastAsia" w:ascii="仿宋_GB2312" w:hAnsi="仿宋_GB2312" w:eastAsia="仿宋_GB2312" w:cs="仿宋_GB2312"/>
          <w:color w:val="000000"/>
          <w:sz w:val="32"/>
          <w:szCs w:val="32"/>
        </w:rPr>
        <w:t>赣江源斑醴</w:t>
      </w:r>
      <w:bookmarkStart w:id="0" w:name="OLE_LINK2"/>
      <w:bookmarkStart w:id="1" w:name="OLE_LINK1"/>
      <w:r>
        <w:rPr>
          <w:rFonts w:hint="eastAsia" w:ascii="仿宋_GB2312" w:hAnsi="仿宋_GB2312" w:eastAsia="仿宋_GB2312" w:cs="仿宋_GB2312"/>
          <w:color w:val="000000"/>
          <w:sz w:val="32"/>
          <w:szCs w:val="32"/>
        </w:rPr>
        <w:t>国家级水产种质资源保护区</w:t>
      </w:r>
      <w:bookmarkEnd w:id="0"/>
      <w:bookmarkEnd w:id="1"/>
      <w:r>
        <w:rPr>
          <w:rFonts w:hint="eastAsia" w:ascii="仿宋_GB2312" w:hAnsi="仿宋_GB2312" w:eastAsia="仿宋_GB2312" w:cs="仿宋_GB2312"/>
          <w:color w:val="000000"/>
          <w:sz w:val="32"/>
          <w:szCs w:val="32"/>
        </w:rPr>
        <w:t>核心区水域（琴江镇睦富大桥至屏山镇燕首大桥河段）;县域内各饮用水源地一级保护区为常年禁钓区</w:t>
      </w:r>
      <w:r>
        <w:rPr>
          <w:rFonts w:hint="eastAsia" w:ascii="宋体" w:hAnsi="宋体" w:eastAsia="仿宋_GB2312"/>
          <w:bCs/>
          <w:sz w:val="32"/>
          <w:szCs w:val="32"/>
        </w:rPr>
        <w:t>。</w:t>
      </w:r>
    </w:p>
    <w:p w14:paraId="16FEEF83">
      <w:pPr>
        <w:pStyle w:val="2"/>
        <w:spacing w:after="0" w:line="560" w:lineRule="exact"/>
        <w:ind w:firstLine="640" w:firstLineChars="200"/>
        <w:rPr>
          <w:rFonts w:hint="eastAsia" w:ascii="黑体" w:hAnsi="黑体" w:eastAsia="黑体"/>
          <w:sz w:val="32"/>
          <w:szCs w:val="32"/>
        </w:rPr>
      </w:pPr>
      <w:r>
        <w:rPr>
          <w:rFonts w:hint="eastAsia" w:ascii="黑体" w:hAnsi="黑体" w:eastAsia="黑体"/>
          <w:sz w:val="32"/>
          <w:szCs w:val="32"/>
        </w:rPr>
        <w:t>二、允许垂钓区域</w:t>
      </w:r>
    </w:p>
    <w:p w14:paraId="2EC50A19">
      <w:pPr>
        <w:pStyle w:val="2"/>
        <w:spacing w:after="0" w:line="560" w:lineRule="exact"/>
        <w:ind w:firstLine="640" w:firstLineChars="200"/>
        <w:rPr>
          <w:rFonts w:hint="eastAsia"/>
        </w:rPr>
      </w:pPr>
      <w:r>
        <w:rPr>
          <w:rFonts w:hint="eastAsia" w:ascii="仿宋_GB2312" w:hAnsi="仿宋_GB2312" w:eastAsia="仿宋_GB2312" w:cs="仿宋_GB2312"/>
          <w:color w:val="000000"/>
          <w:sz w:val="32"/>
          <w:szCs w:val="32"/>
        </w:rPr>
        <w:t>禁钓区域以外的天然水域，允许开展休闲娱乐性垂钓活动，</w:t>
      </w:r>
      <w:r>
        <w:rPr>
          <w:rFonts w:hint="eastAsia" w:ascii="仿宋_GB2312" w:hAnsi="仿宋_GB2312" w:eastAsia="仿宋_GB2312" w:cs="仿宋_GB2312"/>
          <w:color w:val="000000"/>
          <w:spacing w:val="-8"/>
          <w:sz w:val="32"/>
          <w:szCs w:val="32"/>
        </w:rPr>
        <w:t>但必须按照法律法规、相关政策文件和有关休闲垂钓管理规定执行。</w:t>
      </w:r>
    </w:p>
    <w:p w14:paraId="0713A30A">
      <w:pPr>
        <w:spacing w:line="560" w:lineRule="exact"/>
        <w:ind w:firstLine="640" w:firstLineChars="200"/>
        <w:rPr>
          <w:rFonts w:hint="eastAsia"/>
        </w:rPr>
      </w:pPr>
      <w:r>
        <w:rPr>
          <w:rFonts w:hint="eastAsia" w:ascii="宋体" w:hAnsi="宋体" w:eastAsia="仿宋_GB2312"/>
          <w:bCs/>
          <w:sz w:val="32"/>
          <w:szCs w:val="32"/>
        </w:rPr>
        <w:t>县公安局、县农业农村局、县市场监管局、县交通运输局、县水利局、赣州市石城生态环境局等涉水执法部门以及沿河所在地乡镇人民政府应依据有关法律法规</w:t>
      </w:r>
      <w:r>
        <w:rPr>
          <w:rFonts w:hint="eastAsia" w:ascii="仿宋_GB2312" w:hAnsi="仿宋_GB2312" w:eastAsia="仿宋_GB2312" w:cs="仿宋_GB2312"/>
          <w:color w:val="000000"/>
          <w:sz w:val="32"/>
          <w:szCs w:val="32"/>
        </w:rPr>
        <w:t>规章</w:t>
      </w:r>
      <w:r>
        <w:rPr>
          <w:rFonts w:hint="eastAsia" w:ascii="宋体" w:hAnsi="宋体" w:eastAsia="仿宋_GB2312"/>
          <w:bCs/>
          <w:sz w:val="32"/>
          <w:szCs w:val="32"/>
        </w:rPr>
        <w:t>规定，结合各自职责，加强对</w:t>
      </w:r>
      <w:r>
        <w:rPr>
          <w:rFonts w:hint="eastAsia" w:ascii="仿宋_GB2312" w:hAnsi="仿宋_GB2312" w:eastAsia="仿宋_GB2312" w:cs="仿宋_GB2312"/>
          <w:color w:val="000000"/>
          <w:sz w:val="32"/>
          <w:szCs w:val="32"/>
        </w:rPr>
        <w:t>辖区</w:t>
      </w:r>
      <w:r>
        <w:rPr>
          <w:rFonts w:hint="eastAsia" w:ascii="宋体" w:hAnsi="宋体" w:eastAsia="仿宋_GB2312"/>
          <w:bCs/>
          <w:sz w:val="32"/>
          <w:szCs w:val="32"/>
        </w:rPr>
        <w:t>天然水域涉渔违法行为的日常巡查，持续加大打击力度，确保</w:t>
      </w:r>
      <w:r>
        <w:rPr>
          <w:rFonts w:hint="eastAsia" w:ascii="仿宋_GB2312" w:hAnsi="仿宋_GB2312" w:eastAsia="仿宋_GB2312" w:cs="仿宋_GB2312"/>
          <w:color w:val="000000"/>
          <w:sz w:val="32"/>
          <w:szCs w:val="32"/>
        </w:rPr>
        <w:t>辖区天然水域安全稳定</w:t>
      </w:r>
      <w:r>
        <w:rPr>
          <w:rFonts w:hint="eastAsia" w:ascii="宋体" w:hAnsi="宋体" w:eastAsia="仿宋_GB2312"/>
          <w:bCs/>
          <w:sz w:val="32"/>
          <w:szCs w:val="32"/>
        </w:rPr>
        <w:t>。</w:t>
      </w:r>
    </w:p>
    <w:p w14:paraId="740E8AFD">
      <w:pPr>
        <w:spacing w:line="560" w:lineRule="exact"/>
        <w:ind w:firstLine="640" w:firstLineChars="200"/>
        <w:rPr>
          <w:rFonts w:hint="eastAsia" w:ascii="仿宋_GB2312" w:hAnsi="宋体" w:eastAsia="仿宋_GB2312"/>
          <w:bCs/>
          <w:sz w:val="32"/>
          <w:szCs w:val="32"/>
        </w:rPr>
      </w:pPr>
      <w:r>
        <w:rPr>
          <w:rFonts w:hint="eastAsia" w:ascii="仿宋_GB2312" w:hAnsi="宋体" w:eastAsia="仿宋_GB2312"/>
          <w:bCs/>
          <w:sz w:val="32"/>
          <w:szCs w:val="32"/>
        </w:rPr>
        <w:t>监督举报电话：0797—5712316或110。</w:t>
      </w:r>
    </w:p>
    <w:p w14:paraId="5C440386">
      <w:pPr>
        <w:spacing w:line="560" w:lineRule="exact"/>
        <w:ind w:firstLine="640" w:firstLineChars="200"/>
        <w:rPr>
          <w:rFonts w:hint="eastAsia" w:ascii="仿宋_GB2312" w:hAnsi="宋体" w:eastAsia="仿宋_GB2312"/>
          <w:bCs/>
          <w:sz w:val="32"/>
          <w:szCs w:val="32"/>
        </w:rPr>
      </w:pPr>
      <w:r>
        <w:rPr>
          <w:rFonts w:hint="eastAsia" w:ascii="仿宋_GB2312" w:hAnsi="宋体" w:eastAsia="仿宋_GB2312"/>
          <w:bCs/>
          <w:sz w:val="32"/>
          <w:szCs w:val="32"/>
        </w:rPr>
        <w:t>特此通告</w:t>
      </w:r>
    </w:p>
    <w:p w14:paraId="5B335938">
      <w:pPr>
        <w:spacing w:line="560" w:lineRule="exact"/>
        <w:rPr>
          <w:rFonts w:hint="eastAsia" w:ascii="仿宋_GB2312" w:hAnsi="宋体" w:eastAsia="仿宋_GB2312"/>
          <w:bCs/>
          <w:sz w:val="32"/>
          <w:szCs w:val="32"/>
        </w:rPr>
      </w:pPr>
    </w:p>
    <w:p w14:paraId="7D43DF7E">
      <w:pPr>
        <w:spacing w:line="560" w:lineRule="exact"/>
        <w:rPr>
          <w:rFonts w:hint="eastAsia" w:ascii="仿宋_GB2312" w:hAnsi="宋体" w:eastAsia="仿宋_GB2312"/>
          <w:bCs/>
          <w:sz w:val="32"/>
          <w:szCs w:val="32"/>
        </w:rPr>
      </w:pPr>
    </w:p>
    <w:p w14:paraId="2284C804">
      <w:pPr>
        <w:spacing w:line="560" w:lineRule="exact"/>
        <w:rPr>
          <w:rFonts w:hint="eastAsia" w:ascii="仿宋_GB2312" w:hAnsi="宋体" w:eastAsia="仿宋_GB2312"/>
          <w:bCs/>
          <w:sz w:val="32"/>
          <w:szCs w:val="32"/>
        </w:rPr>
      </w:pPr>
    </w:p>
    <w:p w14:paraId="093FDCF3">
      <w:pPr>
        <w:spacing w:line="560" w:lineRule="exact"/>
        <w:ind w:firstLine="5120" w:firstLineChars="1600"/>
        <w:rPr>
          <w:rFonts w:hint="eastAsia" w:ascii="仿宋_GB2312" w:hAnsi="宋体" w:eastAsia="仿宋_GB2312"/>
          <w:bCs/>
          <w:sz w:val="32"/>
          <w:szCs w:val="32"/>
        </w:rPr>
      </w:pPr>
      <w:r>
        <w:rPr>
          <w:rFonts w:hint="eastAsia" w:ascii="仿宋_GB2312" w:hAnsi="宋体" w:eastAsia="仿宋_GB2312"/>
          <w:bCs/>
          <w:sz w:val="32"/>
          <w:szCs w:val="32"/>
        </w:rPr>
        <w:t>石城县人民政府</w:t>
      </w:r>
    </w:p>
    <w:p w14:paraId="46976C62">
      <w:pPr>
        <w:spacing w:line="560" w:lineRule="exact"/>
        <w:ind w:firstLine="5120" w:firstLineChars="1600"/>
        <w:rPr>
          <w:rFonts w:hint="eastAsia" w:ascii="仿宋_GB2312" w:hAnsi="宋体" w:eastAsia="仿宋_GB2312"/>
          <w:bCs/>
          <w:sz w:val="32"/>
          <w:szCs w:val="32"/>
        </w:rPr>
      </w:pPr>
      <w:r>
        <w:rPr>
          <w:rFonts w:hint="eastAsia" w:ascii="仿宋_GB2312" w:hAnsi="宋体" w:eastAsia="仿宋_GB2312"/>
          <w:bCs/>
          <w:sz w:val="32"/>
          <w:szCs w:val="32"/>
        </w:rPr>
        <w:t>2025年5月1日</w:t>
      </w:r>
    </w:p>
    <w:p w14:paraId="696FD867">
      <w:pPr>
        <w:spacing w:line="440" w:lineRule="exact"/>
        <w:rPr>
          <w:rFonts w:hint="eastAsia" w:ascii="仿宋_GB2312" w:eastAsia="仿宋_GB2312"/>
          <w:spacing w:val="-4"/>
          <w:sz w:val="32"/>
          <w:szCs w:val="32"/>
        </w:rPr>
      </w:pPr>
    </w:p>
    <w:p w14:paraId="552D6D9A">
      <w:pPr>
        <w:spacing w:line="440" w:lineRule="exact"/>
        <w:rPr>
          <w:rFonts w:hint="eastAsia" w:ascii="仿宋_GB2312" w:eastAsia="仿宋_GB2312"/>
          <w:spacing w:val="-4"/>
          <w:sz w:val="32"/>
          <w:szCs w:val="32"/>
        </w:rPr>
      </w:pPr>
    </w:p>
    <w:p w14:paraId="4F3311C2">
      <w:pPr>
        <w:spacing w:line="440" w:lineRule="exact"/>
        <w:rPr>
          <w:rFonts w:hint="eastAsia" w:ascii="仿宋_GB2312" w:eastAsia="仿宋_GB2312"/>
          <w:spacing w:val="-4"/>
          <w:sz w:val="32"/>
          <w:szCs w:val="32"/>
        </w:rPr>
      </w:pPr>
    </w:p>
    <w:p w14:paraId="740EC81E">
      <w:pPr>
        <w:rPr>
          <w:rFonts w:hint="eastAsia" w:ascii="仿宋_GB2312" w:eastAsia="仿宋_GB2312"/>
          <w:spacing w:val="-4"/>
          <w:sz w:val="32"/>
          <w:szCs w:val="32"/>
        </w:rPr>
      </w:pPr>
      <w:r>
        <w:rPr>
          <w:rFonts w:hint="eastAsia" w:ascii="仿宋_GB2312" w:eastAsia="仿宋_GB2312"/>
          <w:spacing w:val="-4"/>
          <w:sz w:val="32"/>
          <w:szCs w:val="32"/>
        </w:rPr>
        <w:pict>
          <v:line id="_x0000_s1028" o:spid="_x0000_s1028" o:spt="20" style="position:absolute;left:0pt;margin-left:-0.75pt;margin-top:29.1pt;height:0pt;width:442.2pt;z-index:251660288;mso-width-relative:page;mso-height-relative:page;" coordsize="21600,21600">
            <v:path arrowok="t"/>
            <v:fill focussize="0,0"/>
            <v:stroke weight="1pt"/>
            <v:imagedata o:title=""/>
            <o:lock v:ext="edit"/>
          </v:line>
        </w:pict>
      </w:r>
      <w:r>
        <w:rPr>
          <w:rFonts w:hint="eastAsia" w:ascii="仿宋_GB2312" w:eastAsia="仿宋_GB2312"/>
          <w:spacing w:val="-4"/>
          <w:sz w:val="32"/>
          <w:szCs w:val="32"/>
        </w:rPr>
        <w:pict>
          <v:line id="_x0000_s1029" o:spid="_x0000_s1029" o:spt="20" style="position:absolute;left:0pt;margin-left:-0.75pt;margin-top:1.35pt;height:0pt;width:442.2pt;z-index:251659264;mso-width-relative:page;mso-height-relative:page;" coordsize="21600,21600">
            <v:path arrowok="t"/>
            <v:fill focussize="0,0"/>
            <v:stroke weight="0.7pt"/>
            <v:imagedata o:title=""/>
            <o:lock v:ext="edit"/>
          </v:line>
        </w:pict>
      </w:r>
      <w:r>
        <w:rPr>
          <w:rFonts w:hint="eastAsia" w:ascii="仿宋_GB2312" w:eastAsia="仿宋_GB2312"/>
          <w:spacing w:val="-4"/>
          <w:sz w:val="28"/>
          <w:szCs w:val="28"/>
        </w:rPr>
        <w:t xml:space="preserve"> 石城县人民政府办公室秘书股                  2025年5月1日印发</w:t>
      </w:r>
    </w:p>
    <w:p w14:paraId="7DF340A6"/>
    <w:sectPr>
      <w:headerReference r:id="rId3" w:type="default"/>
      <w:footerReference r:id="rId4" w:type="default"/>
      <w:footerReference r:id="rId5"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方正小标宋_GBK">
    <w:altName w:val="微软雅黑"/>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43F42">
    <w:pPr>
      <w:pStyle w:val="5"/>
      <w:wordWrap w:val="0"/>
      <w:ind w:right="14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AE1B6">
    <w:pPr>
      <w:pStyle w:val="5"/>
      <w:wordWrap w:val="0"/>
      <w:ind w:right="360" w:firstLine="140" w:firstLineChars="5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540A9">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83"/>
    <w:rsid w:val="000033AD"/>
    <w:rsid w:val="0003046A"/>
    <w:rsid w:val="0003150A"/>
    <w:rsid w:val="00080E31"/>
    <w:rsid w:val="00132459"/>
    <w:rsid w:val="001C5274"/>
    <w:rsid w:val="0021396D"/>
    <w:rsid w:val="002340C7"/>
    <w:rsid w:val="00251CB6"/>
    <w:rsid w:val="00280228"/>
    <w:rsid w:val="002961DD"/>
    <w:rsid w:val="002A6601"/>
    <w:rsid w:val="002D0865"/>
    <w:rsid w:val="002E1BE4"/>
    <w:rsid w:val="00304940"/>
    <w:rsid w:val="00384795"/>
    <w:rsid w:val="003C13E6"/>
    <w:rsid w:val="004548EC"/>
    <w:rsid w:val="004C4C83"/>
    <w:rsid w:val="004D01B4"/>
    <w:rsid w:val="004E2614"/>
    <w:rsid w:val="00545B41"/>
    <w:rsid w:val="005D205F"/>
    <w:rsid w:val="00691138"/>
    <w:rsid w:val="006C1ABD"/>
    <w:rsid w:val="006C7D33"/>
    <w:rsid w:val="006F6FED"/>
    <w:rsid w:val="00723ADE"/>
    <w:rsid w:val="00733AB3"/>
    <w:rsid w:val="007E08DB"/>
    <w:rsid w:val="00805A98"/>
    <w:rsid w:val="008410A2"/>
    <w:rsid w:val="008501D6"/>
    <w:rsid w:val="00854298"/>
    <w:rsid w:val="00886F64"/>
    <w:rsid w:val="008942A6"/>
    <w:rsid w:val="00896958"/>
    <w:rsid w:val="008C0A6A"/>
    <w:rsid w:val="00A2369A"/>
    <w:rsid w:val="00A818B6"/>
    <w:rsid w:val="00B25B4C"/>
    <w:rsid w:val="00B430D9"/>
    <w:rsid w:val="00BC52AC"/>
    <w:rsid w:val="00C445F1"/>
    <w:rsid w:val="00C512DF"/>
    <w:rsid w:val="00CA64A9"/>
    <w:rsid w:val="00CF3ECE"/>
    <w:rsid w:val="00D47791"/>
    <w:rsid w:val="00D75B5F"/>
    <w:rsid w:val="00D8048A"/>
    <w:rsid w:val="00E67724"/>
    <w:rsid w:val="00ED1789"/>
    <w:rsid w:val="00EF2B08"/>
    <w:rsid w:val="00EF522A"/>
    <w:rsid w:val="00F67175"/>
    <w:rsid w:val="00F7394F"/>
    <w:rsid w:val="00F758BB"/>
    <w:rsid w:val="00FC5F93"/>
    <w:rsid w:val="068E74CF"/>
    <w:rsid w:val="0A7D3314"/>
    <w:rsid w:val="189358BC"/>
    <w:rsid w:val="22950183"/>
    <w:rsid w:val="245C081F"/>
    <w:rsid w:val="2DCC350F"/>
    <w:rsid w:val="37181585"/>
    <w:rsid w:val="3B004D11"/>
    <w:rsid w:val="3E8310FD"/>
    <w:rsid w:val="48B730AD"/>
    <w:rsid w:val="4B0A10B4"/>
    <w:rsid w:val="5F4F40BE"/>
    <w:rsid w:val="5FE37E87"/>
    <w:rsid w:val="67AC5455"/>
    <w:rsid w:val="6B15453C"/>
    <w:rsid w:val="76A7573C"/>
    <w:rsid w:val="777B7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Date"/>
    <w:basedOn w:val="1"/>
    <w:next w:val="1"/>
    <w:link w:val="12"/>
    <w:uiPriority w:val="0"/>
    <w:pPr>
      <w:ind w:left="100" w:leftChars="2500"/>
    </w:pPr>
  </w:style>
  <w:style w:type="paragraph" w:styleId="4">
    <w:name w:val="Balloon Text"/>
    <w:basedOn w:val="1"/>
    <w:semiHidden/>
    <w:uiPriority w:val="0"/>
    <w:rPr>
      <w:sz w:val="18"/>
      <w:szCs w:val="18"/>
    </w:rPr>
  </w:style>
  <w:style w:type="paragraph" w:styleId="5">
    <w:name w:val="footer"/>
    <w:basedOn w:val="1"/>
    <w:link w:val="11"/>
    <w:uiPriority w:val="99"/>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0">
    <w:name w:val="页脚1"/>
    <w:basedOn w:val="1"/>
    <w:qFormat/>
    <w:uiPriority w:val="0"/>
    <w:pPr>
      <w:tabs>
        <w:tab w:val="center" w:pos="4153"/>
        <w:tab w:val="right" w:pos="8306"/>
      </w:tabs>
      <w:snapToGrid w:val="0"/>
      <w:jc w:val="left"/>
    </w:pPr>
    <w:rPr>
      <w:sz w:val="18"/>
      <w:szCs w:val="18"/>
    </w:rPr>
  </w:style>
  <w:style w:type="character" w:customStyle="1" w:styleId="11">
    <w:name w:val="页脚 Char"/>
    <w:basedOn w:val="8"/>
    <w:link w:val="5"/>
    <w:uiPriority w:val="99"/>
    <w:rPr>
      <w:rFonts w:ascii="Times New Roman" w:hAnsi="Times New Roman" w:eastAsia="宋体" w:cs="Times New Roman"/>
      <w:sz w:val="18"/>
    </w:rPr>
  </w:style>
  <w:style w:type="character" w:customStyle="1" w:styleId="12">
    <w:name w:val="日期 Char"/>
    <w:basedOn w:val="8"/>
    <w:link w:val="3"/>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2025-05-15T07:55:00Z</dcterms:created>
  <dc:creator>微信用户</dc:creator>
  <cp:lastModifiedBy>微信用户</cp:lastModifiedBy>
  <dcterms:modified xsi:type="dcterms:W3CDTF">2025-05-15T07:56:36Z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91A49055D29445C88251B4C8BA18C18E_11</vt:lpwstr>
  </property>
  <property fmtid="{D5CDD505-2E9C-101B-9397-08002B2CF9AE}" pid="4" name="KSOTemplateDocerSaveRecord">
    <vt:lpwstr>eyJoZGlkIjoiMGRiMDI0ZWE1YzAwOGNjNTIxOGVkYjZmYzY3YWRhZTIiLCJ1c2VySWQiOiIxNDExMTI2MzEyIn0=</vt:lpwstr>
  </property>
</Properties>
</file>