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cs="黑体"/>
          <w:sz w:val="52"/>
          <w:szCs w:val="52"/>
          <w:lang w:eastAsia="zh-CN"/>
        </w:rPr>
      </w:pPr>
      <w:r>
        <w:rPr>
          <w:rFonts w:hint="eastAsia" w:ascii="黑体" w:hAnsi="黑体" w:eastAsia="黑体" w:cs="黑体"/>
          <w:sz w:val="52"/>
          <w:szCs w:val="52"/>
          <w:lang w:eastAsia="zh-CN"/>
        </w:rPr>
        <w:t>石城县自然资源局上半年工作总结</w:t>
      </w:r>
    </w:p>
    <w:p>
      <w:pPr>
        <w:rPr>
          <w:rFonts w:hint="eastAsia" w:ascii="仿宋_GB2312" w:hAnsi="仿宋_GB2312" w:eastAsia="仿宋_GB2312" w:cs="仿宋_GB2312"/>
          <w:sz w:val="28"/>
          <w:szCs w:val="28"/>
          <w:lang w:eastAsia="zh-CN"/>
        </w:rPr>
      </w:pPr>
    </w:p>
    <w:p>
      <w:pPr>
        <w:ind w:firstLine="640" w:firstLineChars="200"/>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b w:val="0"/>
          <w:bCs w:val="0"/>
          <w:color w:val="auto"/>
          <w:kern w:val="2"/>
          <w:sz w:val="32"/>
          <w:szCs w:val="32"/>
          <w:highlight w:val="none"/>
          <w:lang w:val="en-US" w:eastAsia="zh-CN" w:bidi="ar-SA"/>
        </w:rPr>
        <w:t>党建办</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b w:val="0"/>
          <w:bCs w:val="0"/>
          <w:color w:val="auto"/>
          <w:kern w:val="2"/>
          <w:sz w:val="32"/>
          <w:szCs w:val="32"/>
          <w:highlight w:val="none"/>
          <w:lang w:val="en-US" w:eastAsia="zh-CN" w:bidi="ar-SA"/>
        </w:rPr>
        <w:t>2024年上半年，局党建办坚持把开展党纪学习教育作为当前重要政治任务，</w:t>
      </w:r>
      <w:r>
        <w:rPr>
          <w:rFonts w:hint="eastAsia" w:ascii="仿宋_GB2312" w:hAnsi="仿宋_GB2312" w:eastAsia="仿宋_GB2312" w:cs="仿宋_GB2312"/>
          <w:sz w:val="32"/>
          <w:szCs w:val="32"/>
          <w:lang w:val="en-US" w:eastAsia="zh-CN"/>
        </w:rPr>
        <w:t>深入推进学习教育；</w:t>
      </w:r>
      <w:r>
        <w:rPr>
          <w:rFonts w:hint="eastAsia" w:ascii="仿宋_GB2312" w:hAnsi="仿宋_GB2312" w:eastAsia="仿宋_GB2312" w:cs="仿宋_GB2312"/>
          <w:b w:val="0"/>
          <w:bCs w:val="0"/>
          <w:color w:val="auto"/>
          <w:kern w:val="2"/>
          <w:sz w:val="32"/>
          <w:szCs w:val="32"/>
          <w:highlight w:val="none"/>
          <w:lang w:val="en-US" w:eastAsia="zh-CN" w:bidi="ar-SA"/>
        </w:rPr>
        <w:t>推进“五抓落实”，</w:t>
      </w:r>
      <w:r>
        <w:rPr>
          <w:rFonts w:hint="eastAsia" w:ascii="仿宋_GB2312" w:hAnsi="仿宋_GB2312" w:eastAsia="仿宋_GB2312" w:cs="仿宋_GB2312"/>
          <w:b w:val="0"/>
          <w:bCs w:val="0"/>
          <w:color w:val="auto"/>
          <w:sz w:val="32"/>
          <w:szCs w:val="32"/>
          <w:lang w:val="en-US" w:eastAsia="zh-CN"/>
        </w:rPr>
        <w:t>建立“三级四岗”责任清单，精心做好发展党员工作，规范党费收缴程序，做好党建信息化建设，</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b w:val="0"/>
          <w:bCs w:val="0"/>
          <w:sz w:val="32"/>
          <w:szCs w:val="32"/>
          <w:lang w:val="en-US" w:eastAsia="zh-CN"/>
        </w:rPr>
        <w:t>深入推进以案促改工作和</w:t>
      </w:r>
      <w:r>
        <w:rPr>
          <w:rFonts w:hint="eastAsia" w:ascii="仿宋_GB2312" w:hAnsi="仿宋_GB2312" w:eastAsia="仿宋_GB2312" w:cs="仿宋_GB2312"/>
          <w:b w:val="0"/>
          <w:bCs w:val="0"/>
          <w:color w:val="auto"/>
          <w:kern w:val="2"/>
          <w:sz w:val="32"/>
          <w:szCs w:val="32"/>
          <w:highlight w:val="none"/>
          <w:lang w:val="en-US" w:eastAsia="zh-CN" w:bidi="ar-SA"/>
        </w:rPr>
        <w:t>全面开展群众身边不正之风和腐败问题集中整治工作，</w:t>
      </w:r>
      <w:r>
        <w:rPr>
          <w:rFonts w:hint="eastAsia" w:ascii="仿宋_GB2312" w:hAnsi="仿宋_GB2312" w:eastAsia="仿宋_GB2312" w:cs="仿宋_GB2312"/>
          <w:b w:val="0"/>
          <w:bCs w:val="0"/>
          <w:sz w:val="32"/>
          <w:szCs w:val="32"/>
          <w:lang w:val="en-US" w:eastAsia="zh-CN"/>
        </w:rPr>
        <w:t>抓好党风廉政建设。</w:t>
      </w:r>
    </w:p>
    <w:p>
      <w:pPr>
        <w:ind w:firstLine="640" w:firstLineChars="200"/>
        <w:rPr>
          <w:rFonts w:hint="eastAsia" w:ascii="仿宋_GB2312" w:hAnsi="仿宋_GB2312" w:eastAsia="仿宋_GB2312" w:cs="仿宋_GB2312"/>
          <w:b w:val="0"/>
          <w:bCs w:val="0"/>
          <w:color w:val="auto"/>
          <w:spacing w:val="0"/>
          <w:sz w:val="32"/>
          <w:szCs w:val="32"/>
          <w:lang w:val="en-US" w:eastAsia="zh-CN"/>
        </w:rPr>
      </w:pPr>
      <w:r>
        <w:rPr>
          <w:rFonts w:hint="eastAsia" w:ascii="仿宋_GB2312" w:hAnsi="仿宋_GB2312" w:eastAsia="仿宋_GB2312" w:cs="仿宋_GB2312"/>
          <w:b w:val="0"/>
          <w:bCs w:val="0"/>
          <w:sz w:val="32"/>
          <w:szCs w:val="32"/>
          <w:lang w:val="en-US" w:eastAsia="zh-CN"/>
        </w:rPr>
        <w:t>【耕保股】</w:t>
      </w:r>
      <w:r>
        <w:rPr>
          <w:rFonts w:hint="eastAsia" w:ascii="仿宋_GB2312" w:hAnsi="仿宋_GB2312" w:eastAsia="仿宋_GB2312" w:cs="仿宋_GB2312"/>
          <w:sz w:val="32"/>
          <w:szCs w:val="32"/>
          <w:lang w:val="en-US" w:eastAsia="zh-CN"/>
        </w:rPr>
        <w:t>积极做好用地报批工作，</w:t>
      </w:r>
      <w:r>
        <w:rPr>
          <w:rFonts w:hint="eastAsia" w:ascii="仿宋_GB2312" w:hAnsi="仿宋_GB2312" w:eastAsia="仿宋_GB2312" w:cs="仿宋_GB2312"/>
          <w:b w:val="0"/>
          <w:bCs w:val="0"/>
          <w:color w:val="auto"/>
          <w:spacing w:val="0"/>
          <w:sz w:val="32"/>
          <w:szCs w:val="32"/>
          <w:lang w:val="en-US" w:eastAsia="zh-CN"/>
        </w:rPr>
        <w:t>保障县域经济发展用地需要和乡村振兴及农民建房用地需求，科学精准开展成片开发方案编制，</w:t>
      </w:r>
      <w:r>
        <w:rPr>
          <w:rFonts w:hint="eastAsia" w:ascii="仿宋_GB2312" w:hAnsi="仿宋_GB2312" w:eastAsia="仿宋_GB2312" w:cs="仿宋_GB2312"/>
          <w:b w:val="0"/>
          <w:bCs w:val="0"/>
          <w:sz w:val="32"/>
          <w:szCs w:val="32"/>
        </w:rPr>
        <w:t>完成</w:t>
      </w:r>
      <w:r>
        <w:rPr>
          <w:rFonts w:hint="eastAsia" w:ascii="仿宋_GB2312" w:hAnsi="仿宋_GB2312" w:eastAsia="仿宋_GB2312" w:cs="仿宋_GB2312"/>
          <w:b w:val="0"/>
          <w:bCs w:val="0"/>
          <w:sz w:val="32"/>
          <w:szCs w:val="32"/>
          <w:lang w:eastAsia="zh-CN"/>
        </w:rPr>
        <w:t>石城县</w:t>
      </w:r>
      <w:r>
        <w:rPr>
          <w:rFonts w:hint="eastAsia" w:ascii="仿宋_GB2312" w:hAnsi="仿宋_GB2312" w:eastAsia="仿宋_GB2312" w:cs="仿宋_GB2312"/>
          <w:b w:val="0"/>
          <w:bCs w:val="0"/>
          <w:sz w:val="32"/>
          <w:szCs w:val="32"/>
        </w:rPr>
        <w:t>202</w:t>
      </w:r>
      <w:r>
        <w:rPr>
          <w:rFonts w:hint="eastAsia" w:ascii="仿宋_GB2312" w:hAnsi="仿宋_GB2312" w:eastAsia="仿宋_GB2312" w:cs="仿宋_GB2312"/>
          <w:b w:val="0"/>
          <w:bCs w:val="0"/>
          <w:sz w:val="32"/>
          <w:szCs w:val="32"/>
          <w:lang w:val="en-US" w:eastAsia="zh-CN"/>
        </w:rPr>
        <w:t>4</w:t>
      </w:r>
      <w:r>
        <w:rPr>
          <w:rFonts w:hint="eastAsia" w:ascii="仿宋_GB2312" w:hAnsi="仿宋_GB2312" w:eastAsia="仿宋_GB2312" w:cs="仿宋_GB2312"/>
          <w:b w:val="0"/>
          <w:bCs w:val="0"/>
          <w:sz w:val="32"/>
          <w:szCs w:val="32"/>
        </w:rPr>
        <w:t>年成片开发方案编制</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color w:val="auto"/>
          <w:spacing w:val="0"/>
          <w:sz w:val="32"/>
          <w:szCs w:val="32"/>
          <w:lang w:val="en-US" w:eastAsia="zh-CN"/>
        </w:rPr>
        <w:t>妥善完成了永久基本农田划定成果核实处置工作，持续推进耕地流出整改工作和耕地储备区划定工作。</w:t>
      </w:r>
    </w:p>
    <w:p>
      <w:pPr>
        <w:ind w:firstLine="640" w:firstLineChars="200"/>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color w:val="auto"/>
          <w:spacing w:val="0"/>
          <w:sz w:val="32"/>
          <w:szCs w:val="32"/>
          <w:lang w:val="en-US" w:eastAsia="zh-CN"/>
        </w:rPr>
        <w:t>【矿政股】</w:t>
      </w:r>
      <w:r>
        <w:rPr>
          <w:rFonts w:hint="eastAsia" w:ascii="仿宋_GB2312" w:hAnsi="仿宋_GB2312" w:eastAsia="仿宋_GB2312" w:cs="仿宋_GB2312"/>
          <w:b w:val="0"/>
          <w:bCs w:val="0"/>
          <w:sz w:val="32"/>
          <w:szCs w:val="32"/>
        </w:rPr>
        <w:t>加强矿山企业生态修复目标管理</w:t>
      </w:r>
      <w:r>
        <w:rPr>
          <w:rFonts w:hint="eastAsia" w:ascii="仿宋_GB2312" w:hAnsi="仿宋_GB2312" w:eastAsia="仿宋_GB2312" w:cs="仿宋_GB2312"/>
          <w:b w:val="0"/>
          <w:bCs w:val="0"/>
          <w:sz w:val="32"/>
          <w:szCs w:val="32"/>
          <w:lang w:eastAsia="zh-CN"/>
        </w:rPr>
        <w:t>和动态巡查监管，</w:t>
      </w:r>
      <w:r>
        <w:rPr>
          <w:rFonts w:hint="eastAsia" w:ascii="仿宋_GB2312" w:hAnsi="仿宋_GB2312" w:eastAsia="仿宋_GB2312" w:cs="仿宋_GB2312"/>
          <w:b w:val="0"/>
          <w:bCs w:val="0"/>
          <w:sz w:val="32"/>
          <w:szCs w:val="32"/>
          <w:lang w:val="en-US" w:eastAsia="zh-CN"/>
        </w:rPr>
        <w:t>以各专项行动发现问题为抓手，督促矿山企业落实生态修复治理工作；推进矿泉水开发立项，</w:t>
      </w:r>
      <w:r>
        <w:rPr>
          <w:rFonts w:hint="eastAsia" w:ascii="仿宋_GB2312" w:hAnsi="仿宋_GB2312" w:eastAsia="仿宋_GB2312" w:cs="仿宋_GB2312"/>
          <w:b w:val="0"/>
          <w:bCs w:val="0"/>
          <w:sz w:val="32"/>
          <w:szCs w:val="32"/>
          <w:lang w:eastAsia="zh-CN"/>
        </w:rPr>
        <w:t>推进现有矿区进行深部或全矿区勘察，落实找矿大突破工作。</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val="0"/>
          <w:bCs w:val="0"/>
          <w:sz w:val="32"/>
          <w:szCs w:val="32"/>
          <w:lang w:eastAsia="zh-CN"/>
        </w:rPr>
        <w:t>【空间规划股】</w:t>
      </w:r>
      <w:r>
        <w:rPr>
          <w:rFonts w:hint="eastAsia" w:ascii="仿宋_GB2312" w:hAnsi="仿宋_GB2312" w:eastAsia="仿宋_GB2312" w:cs="仿宋_GB2312"/>
          <w:sz w:val="32"/>
          <w:szCs w:val="32"/>
          <w:lang w:val="en-US" w:eastAsia="zh-CN"/>
        </w:rPr>
        <w:t>启动11个乡镇国土空间总体规划编制和开发边界内详细规划编制工作，有序推进地质公园专项规划编制工作，完成县级国土空间总体规划审批和城镇开发边界局部优化工作。</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center"/>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详细规划股</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color w:val="000000" w:themeColor="text1"/>
          <w:kern w:val="0"/>
          <w:sz w:val="32"/>
          <w:szCs w:val="32"/>
          <w14:textFill>
            <w14:solidFill>
              <w14:schemeClr w14:val="tx1"/>
            </w14:solidFill>
          </w14:textFill>
        </w:rPr>
        <w:t>组织召开了</w:t>
      </w:r>
      <w:r>
        <w:rPr>
          <w:rFonts w:hint="eastAsia" w:ascii="仿宋_GB2312" w:hAnsi="仿宋_GB2312" w:eastAsia="仿宋_GB2312" w:cs="仿宋_GB2312"/>
          <w:color w:val="000000" w:themeColor="text1"/>
          <w:kern w:val="0"/>
          <w:sz w:val="32"/>
          <w:szCs w:val="32"/>
          <w:lang w:val="en-US" w:eastAsia="zh-CN"/>
          <w14:textFill>
            <w14:solidFill>
              <w14:schemeClr w14:val="tx1"/>
            </w14:solidFill>
          </w14:textFill>
        </w:rPr>
        <w:t>5</w:t>
      </w:r>
      <w:r>
        <w:rPr>
          <w:rFonts w:hint="eastAsia" w:ascii="仿宋_GB2312" w:hAnsi="仿宋_GB2312" w:eastAsia="仿宋_GB2312" w:cs="仿宋_GB2312"/>
          <w:color w:val="000000" w:themeColor="text1"/>
          <w:kern w:val="0"/>
          <w:sz w:val="32"/>
          <w:szCs w:val="32"/>
          <w14:textFill>
            <w14:solidFill>
              <w14:schemeClr w14:val="tx1"/>
            </w14:solidFill>
          </w14:textFill>
        </w:rPr>
        <w:t>次局规划审查小组会</w:t>
      </w:r>
      <w:r>
        <w:rPr>
          <w:rFonts w:hint="eastAsia" w:ascii="仿宋_GB2312" w:hAnsi="仿宋_GB2312" w:eastAsia="仿宋_GB2312" w:cs="仿宋_GB2312"/>
          <w:color w:val="000000" w:themeColor="text1"/>
          <w:kern w:val="0"/>
          <w:sz w:val="32"/>
          <w:szCs w:val="32"/>
          <w:lang w:eastAsia="zh-CN"/>
          <w14:textFill>
            <w14:solidFill>
              <w14:schemeClr w14:val="tx1"/>
            </w14:solidFill>
          </w14:textFill>
        </w:rPr>
        <w:t>和</w:t>
      </w:r>
      <w:r>
        <w:rPr>
          <w:rFonts w:hint="eastAsia" w:ascii="仿宋_GB2312" w:hAnsi="仿宋_GB2312" w:eastAsia="仿宋_GB2312" w:cs="仿宋_GB2312"/>
          <w:color w:val="000000" w:themeColor="text1"/>
          <w:kern w:val="0"/>
          <w:sz w:val="32"/>
          <w:szCs w:val="32"/>
          <w:lang w:val="en-US" w:eastAsia="zh-CN"/>
          <w14:textFill>
            <w14:solidFill>
              <w14:schemeClr w14:val="tx1"/>
            </w14:solidFill>
          </w14:textFill>
        </w:rPr>
        <w:t>3次空规委专家组会，</w:t>
      </w:r>
      <w:r>
        <w:rPr>
          <w:rFonts w:hint="eastAsia" w:ascii="仿宋_GB2312" w:hAnsi="仿宋_GB2312" w:eastAsia="仿宋_GB2312" w:cs="仿宋_GB2312"/>
          <w:kern w:val="0"/>
          <w:sz w:val="32"/>
          <w:szCs w:val="32"/>
          <w:lang w:val="en-US" w:eastAsia="zh-CN"/>
        </w:rPr>
        <w:t>牵头上报关于做好基层项目建设中的不正之风和腐败问题整治工作的相关材料，</w:t>
      </w:r>
      <w:r>
        <w:rPr>
          <w:rFonts w:hint="eastAsia" w:ascii="仿宋_GB2312" w:hAnsi="仿宋_GB2312" w:eastAsia="仿宋_GB2312" w:cs="仿宋_GB2312"/>
          <w:color w:val="000000" w:themeColor="text1"/>
          <w:kern w:val="0"/>
          <w:sz w:val="32"/>
          <w:szCs w:val="32"/>
          <w14:textFill>
            <w14:solidFill>
              <w14:schemeClr w14:val="tx1"/>
            </w14:solidFill>
          </w14:textFill>
        </w:rPr>
        <w:t>参与县重点工程</w:t>
      </w:r>
      <w:r>
        <w:rPr>
          <w:rFonts w:hint="eastAsia" w:ascii="仿宋_GB2312" w:hAnsi="仿宋_GB2312" w:eastAsia="仿宋_GB2312" w:cs="仿宋_GB2312"/>
          <w:color w:val="000000" w:themeColor="text1"/>
          <w:kern w:val="0"/>
          <w:sz w:val="32"/>
          <w:szCs w:val="32"/>
          <w:lang w:val="en-US" w:eastAsia="zh-CN"/>
          <w14:textFill>
            <w14:solidFill>
              <w14:schemeClr w14:val="tx1"/>
            </w14:solidFill>
          </w14:textFill>
        </w:rPr>
        <w:t>相关</w:t>
      </w:r>
      <w:r>
        <w:rPr>
          <w:rFonts w:hint="eastAsia" w:ascii="仿宋_GB2312" w:hAnsi="仿宋_GB2312" w:eastAsia="仿宋_GB2312" w:cs="仿宋_GB2312"/>
          <w:color w:val="000000" w:themeColor="text1"/>
          <w:kern w:val="0"/>
          <w:sz w:val="32"/>
          <w:szCs w:val="32"/>
          <w14:textFill>
            <w14:solidFill>
              <w14:schemeClr w14:val="tx1"/>
            </w14:solidFill>
          </w14:textFill>
        </w:rPr>
        <w:t>规划</w:t>
      </w:r>
      <w:r>
        <w:rPr>
          <w:rFonts w:hint="eastAsia" w:ascii="仿宋_GB2312" w:hAnsi="仿宋_GB2312" w:eastAsia="仿宋_GB2312" w:cs="仿宋_GB2312"/>
          <w:color w:val="000000" w:themeColor="text1"/>
          <w:kern w:val="0"/>
          <w:sz w:val="32"/>
          <w:szCs w:val="32"/>
          <w:lang w:val="en-US" w:eastAsia="zh-CN"/>
          <w14:textFill>
            <w14:solidFill>
              <w14:schemeClr w14:val="tx1"/>
            </w14:solidFill>
          </w14:textFill>
        </w:rPr>
        <w:t>设计</w:t>
      </w:r>
      <w:r>
        <w:rPr>
          <w:rFonts w:hint="eastAsia" w:ascii="仿宋_GB2312" w:hAnsi="仿宋_GB2312" w:eastAsia="仿宋_GB2312" w:cs="仿宋_GB2312"/>
          <w:color w:val="000000" w:themeColor="text1"/>
          <w:kern w:val="0"/>
          <w:sz w:val="32"/>
          <w:szCs w:val="32"/>
          <w14:textFill>
            <w14:solidFill>
              <w14:schemeClr w14:val="tx1"/>
            </w14:solidFill>
          </w14:textFill>
        </w:rPr>
        <w:t>方案的审查</w:t>
      </w:r>
      <w:r>
        <w:rPr>
          <w:rFonts w:hint="eastAsia" w:ascii="仿宋_GB2312" w:hAnsi="仿宋_GB2312" w:eastAsia="仿宋_GB2312" w:cs="仿宋_GB2312"/>
          <w:color w:val="000000" w:themeColor="text1"/>
          <w:kern w:val="0"/>
          <w:sz w:val="32"/>
          <w:szCs w:val="32"/>
          <w:lang w:eastAsia="zh-CN"/>
          <w14:textFill>
            <w14:solidFill>
              <w14:schemeClr w14:val="tx1"/>
            </w14:solidFill>
          </w14:textFill>
        </w:rPr>
        <w:t>，</w:t>
      </w:r>
      <w:r>
        <w:rPr>
          <w:rFonts w:hint="eastAsia" w:ascii="仿宋_GB2312" w:hAnsi="仿宋_GB2312" w:eastAsia="仿宋_GB2312" w:cs="仿宋_GB2312"/>
          <w:color w:val="000000" w:themeColor="text1"/>
          <w:kern w:val="0"/>
          <w:sz w:val="32"/>
          <w:szCs w:val="32"/>
          <w14:textFill>
            <w14:solidFill>
              <w14:schemeClr w14:val="tx1"/>
            </w14:solidFill>
          </w14:textFill>
        </w:rPr>
        <w:t>配合</w:t>
      </w:r>
      <w:r>
        <w:rPr>
          <w:rFonts w:hint="eastAsia" w:ascii="仿宋_GB2312" w:hAnsi="仿宋_GB2312" w:eastAsia="仿宋_GB2312" w:cs="仿宋_GB2312"/>
          <w:color w:val="000000" w:themeColor="text1"/>
          <w:kern w:val="0"/>
          <w:sz w:val="32"/>
          <w:szCs w:val="32"/>
          <w:lang w:eastAsia="zh-CN"/>
          <w14:textFill>
            <w14:solidFill>
              <w14:schemeClr w14:val="tx1"/>
            </w14:solidFill>
          </w14:textFill>
        </w:rPr>
        <w:t>国土空间规划股</w:t>
      </w:r>
      <w:r>
        <w:rPr>
          <w:rFonts w:hint="eastAsia" w:ascii="仿宋_GB2312" w:hAnsi="仿宋_GB2312" w:eastAsia="仿宋_GB2312" w:cs="仿宋_GB2312"/>
          <w:color w:val="000000" w:themeColor="text1"/>
          <w:kern w:val="0"/>
          <w:sz w:val="32"/>
          <w:szCs w:val="32"/>
          <w14:textFill>
            <w14:solidFill>
              <w14:schemeClr w14:val="tx1"/>
            </w14:solidFill>
          </w14:textFill>
        </w:rPr>
        <w:t>做好石城县</w:t>
      </w:r>
      <w:r>
        <w:rPr>
          <w:rFonts w:hint="eastAsia" w:ascii="仿宋_GB2312" w:hAnsi="仿宋_GB2312" w:eastAsia="仿宋_GB2312" w:cs="仿宋_GB2312"/>
          <w:color w:val="000000" w:themeColor="text1"/>
          <w:kern w:val="0"/>
          <w:sz w:val="32"/>
          <w:szCs w:val="32"/>
          <w:lang w:val="en-US" w:eastAsia="zh-CN"/>
          <w14:textFill>
            <w14:solidFill>
              <w14:schemeClr w14:val="tx1"/>
            </w14:solidFill>
          </w14:textFill>
        </w:rPr>
        <w:t>城镇开发边界内详细规划</w:t>
      </w:r>
      <w:r>
        <w:rPr>
          <w:rFonts w:hint="eastAsia" w:ascii="仿宋_GB2312" w:hAnsi="仿宋_GB2312" w:eastAsia="仿宋_GB2312" w:cs="仿宋_GB2312"/>
          <w:color w:val="000000" w:themeColor="text1"/>
          <w:kern w:val="0"/>
          <w:sz w:val="32"/>
          <w:szCs w:val="32"/>
          <w14:textFill>
            <w14:solidFill>
              <w14:schemeClr w14:val="tx1"/>
            </w14:solidFill>
          </w14:textFill>
        </w:rPr>
        <w:t>的编制</w:t>
      </w:r>
      <w:r>
        <w:rPr>
          <w:rFonts w:hint="eastAsia" w:ascii="仿宋_GB2312" w:hAnsi="仿宋_GB2312" w:eastAsia="仿宋_GB2312" w:cs="仿宋_GB2312"/>
          <w:color w:val="000000" w:themeColor="text1"/>
          <w:kern w:val="0"/>
          <w:sz w:val="32"/>
          <w:szCs w:val="32"/>
          <w:lang w:eastAsia="zh-CN"/>
          <w14:textFill>
            <w14:solidFill>
              <w14:schemeClr w14:val="tx1"/>
            </w14:solidFill>
          </w14:textFill>
        </w:rPr>
        <w:t>工作，</w:t>
      </w:r>
      <w:r>
        <w:rPr>
          <w:rFonts w:hint="eastAsia" w:ascii="仿宋_GB2312" w:hAnsi="仿宋_GB2312" w:eastAsia="仿宋_GB2312" w:cs="仿宋_GB2312"/>
          <w:color w:val="000000" w:themeColor="text1"/>
          <w:kern w:val="0"/>
          <w:sz w:val="32"/>
          <w:szCs w:val="32"/>
          <w:lang w:val="en-US" w:eastAsia="zh-CN"/>
          <w14:textFill>
            <w14:solidFill>
              <w14:schemeClr w14:val="tx1"/>
            </w14:solidFill>
          </w14:textFill>
        </w:rPr>
        <w:t>整合了棚户区改造后的空余地资源，组织了米市街地块和物资局地块等两个地块的规划编制工作</w:t>
      </w:r>
      <w:r>
        <w:rPr>
          <w:rFonts w:hint="eastAsia" w:ascii="仿宋_GB2312" w:hAnsi="仿宋_GB2312" w:eastAsia="仿宋_GB2312" w:cs="仿宋_GB2312"/>
          <w:color w:val="000000" w:themeColor="text1"/>
          <w:kern w:val="0"/>
          <w:sz w:val="32"/>
          <w:szCs w:val="32"/>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center"/>
        <w:rPr>
          <w:rFonts w:hint="eastAsia" w:ascii="仿宋_GB2312" w:hAnsi="仿宋_GB2312" w:eastAsia="仿宋_GB2312" w:cs="仿宋_GB2312"/>
          <w:sz w:val="32"/>
          <w:szCs w:val="32"/>
          <w:lang w:eastAsia="zh-CN"/>
        </w:rPr>
      </w:pPr>
      <w:r>
        <w:rPr>
          <w:rFonts w:hint="eastAsia" w:ascii="仿宋_GB2312" w:hAnsi="仿宋_GB2312" w:eastAsia="仿宋_GB2312" w:cs="仿宋_GB2312"/>
          <w:color w:val="000000" w:themeColor="text1"/>
          <w:kern w:val="0"/>
          <w:sz w:val="32"/>
          <w:szCs w:val="32"/>
          <w:lang w:eastAsia="zh-CN"/>
          <w14:textFill>
            <w14:solidFill>
              <w14:schemeClr w14:val="tx1"/>
            </w14:solidFill>
          </w14:textFill>
        </w:rPr>
        <w:t>【</w:t>
      </w:r>
      <w:r>
        <w:rPr>
          <w:rFonts w:hint="eastAsia" w:ascii="仿宋_GB2312" w:hAnsi="仿宋_GB2312" w:eastAsia="仿宋_GB2312" w:cs="仿宋_GB2312"/>
          <w:bCs/>
          <w:sz w:val="32"/>
          <w:szCs w:val="32"/>
        </w:rPr>
        <w:t>自然资源收储服务股</w:t>
      </w:r>
      <w:r>
        <w:rPr>
          <w:rFonts w:hint="eastAsia" w:ascii="仿宋_GB2312" w:hAnsi="仿宋_GB2312" w:eastAsia="仿宋_GB2312" w:cs="仿宋_GB2312"/>
          <w:color w:val="000000" w:themeColor="text1"/>
          <w:kern w:val="0"/>
          <w:sz w:val="32"/>
          <w:szCs w:val="32"/>
          <w:lang w:eastAsia="zh-CN"/>
          <w14:textFill>
            <w14:solidFill>
              <w14:schemeClr w14:val="tx1"/>
            </w14:solidFill>
          </w14:textFill>
        </w:rPr>
        <w:t>】根据上级文件精神和</w:t>
      </w:r>
      <w:r>
        <w:rPr>
          <w:rFonts w:hint="eastAsia" w:ascii="仿宋_GB2312" w:hAnsi="仿宋_GB2312" w:eastAsia="仿宋_GB2312" w:cs="仿宋_GB2312"/>
          <w:sz w:val="32"/>
          <w:szCs w:val="32"/>
        </w:rPr>
        <w:t>结合城市建设发展和土地利用市场调控的需要合理制定了石城县202</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年度土地储备计划</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按期保质完成土地储备监测监管新系统基本数据填报工作</w:t>
      </w:r>
      <w:r>
        <w:rPr>
          <w:rFonts w:hint="eastAsia" w:ascii="仿宋_GB2312" w:hAnsi="仿宋_GB2312" w:eastAsia="仿宋_GB2312" w:cs="仿宋_GB2312"/>
          <w:sz w:val="32"/>
          <w:szCs w:val="32"/>
          <w:lang w:eastAsia="zh-CN"/>
        </w:rPr>
        <w:t>。</w:t>
      </w:r>
    </w:p>
    <w:p>
      <w:pPr>
        <w:pStyle w:val="3"/>
        <w:keepNext w:val="0"/>
        <w:keepLines w:val="0"/>
        <w:pageBreakBefore w:val="0"/>
        <w:widowControl w:val="0"/>
        <w:numPr>
          <w:ilvl w:val="0"/>
          <w:numId w:val="0"/>
        </w:numPr>
        <w:kinsoku/>
        <w:wordWrap/>
        <w:overflowPunct/>
        <w:topLinePunct w:val="0"/>
        <w:autoSpaceDE/>
        <w:autoSpaceDN/>
        <w:bidi w:val="0"/>
        <w:adjustRightIn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pacing w:val="0"/>
          <w:position w:val="0"/>
          <w:sz w:val="32"/>
          <w:szCs w:val="32"/>
          <w:lang w:val="en-US" w:eastAsia="zh-CN"/>
        </w:rPr>
        <w:t>自然资源测绘和确权登记股</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b w:val="0"/>
          <w:bCs w:val="0"/>
          <w:sz w:val="32"/>
          <w:szCs w:val="32"/>
          <w:lang w:val="en-US" w:eastAsia="zh-CN"/>
        </w:rPr>
        <w:t>扎实开展2023年国土变更调查工作，认真开展承诺耕地举证和土地整理股开展补充耕地项目日常变更自然资源统一确权登记发证工作；对我县各测绘单位开展了安全巡查，</w:t>
      </w:r>
      <w:r>
        <w:rPr>
          <w:rFonts w:hint="eastAsia" w:ascii="仿宋_GB2312" w:hAnsi="仿宋_GB2312" w:eastAsia="仿宋_GB2312" w:cs="仿宋_GB2312"/>
          <w:sz w:val="32"/>
          <w:szCs w:val="32"/>
          <w:lang w:val="en-US" w:eastAsia="zh-CN"/>
        </w:rPr>
        <w:t>认真组织实施石城县“十四五”基础测绘项目。</w:t>
      </w:r>
    </w:p>
    <w:p>
      <w:pPr>
        <w:pStyle w:val="3"/>
        <w:keepNext w:val="0"/>
        <w:keepLines w:val="0"/>
        <w:pageBreakBefore w:val="0"/>
        <w:widowControl w:val="0"/>
        <w:numPr>
          <w:ilvl w:val="0"/>
          <w:numId w:val="0"/>
        </w:numPr>
        <w:kinsoku/>
        <w:wordWrap/>
        <w:overflowPunct/>
        <w:topLinePunct w:val="0"/>
        <w:autoSpaceDE/>
        <w:autoSpaceDN/>
        <w:bidi w:val="0"/>
        <w:adjustRightIn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【自然资源监察大队】</w:t>
      </w:r>
      <w:r>
        <w:rPr>
          <w:rFonts w:hint="eastAsia" w:ascii="仿宋_GB2312" w:hAnsi="仿宋_GB2312" w:eastAsia="仿宋_GB2312" w:cs="仿宋_GB2312"/>
          <w:sz w:val="32"/>
          <w:szCs w:val="32"/>
        </w:rPr>
        <w:t>实地核查和处理历年耕地占补平衡冻结指标情况</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共核销13个图斑，释放耕地指标5.4亩</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认真履职做好南京督察局的例行督察对接工作</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反馈石城县问题图斑总面积60.25亩</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发现违法图斑11个</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整改到位</w:t>
      </w:r>
      <w:r>
        <w:rPr>
          <w:rFonts w:hint="eastAsia" w:ascii="仿宋_GB2312" w:hAnsi="仿宋_GB2312" w:eastAsia="仿宋_GB2312" w:cs="仿宋_GB2312"/>
          <w:sz w:val="32"/>
          <w:szCs w:val="32"/>
          <w:lang w:eastAsia="zh-CN"/>
        </w:rPr>
        <w:t>“非粮化”</w:t>
      </w:r>
      <w:r>
        <w:rPr>
          <w:rFonts w:hint="eastAsia" w:ascii="仿宋_GB2312" w:hAnsi="仿宋_GB2312" w:eastAsia="仿宋_GB2312" w:cs="仿宋_GB2312"/>
          <w:sz w:val="32"/>
          <w:szCs w:val="32"/>
        </w:rPr>
        <w:t>图斑2个</w:t>
      </w:r>
      <w:r>
        <w:rPr>
          <w:rFonts w:hint="eastAsia" w:ascii="仿宋_GB2312" w:hAnsi="仿宋_GB2312" w:eastAsia="仿宋_GB2312" w:cs="仿宋_GB2312"/>
          <w:sz w:val="32"/>
          <w:szCs w:val="32"/>
          <w:lang w:eastAsia="zh-CN"/>
        </w:rPr>
        <w:t>。</w:t>
      </w:r>
    </w:p>
    <w:p>
      <w:pPr>
        <w:pStyle w:val="3"/>
        <w:keepNext w:val="0"/>
        <w:keepLines w:val="0"/>
        <w:pageBreakBefore w:val="0"/>
        <w:widowControl w:val="0"/>
        <w:numPr>
          <w:ilvl w:val="0"/>
          <w:numId w:val="0"/>
        </w:numPr>
        <w:kinsoku/>
        <w:wordWrap/>
        <w:overflowPunct/>
        <w:topLinePunct w:val="0"/>
        <w:autoSpaceDE/>
        <w:autoSpaceDN/>
        <w:bidi w:val="0"/>
        <w:adjustRightInd/>
        <w:spacing w:line="560" w:lineRule="exact"/>
        <w:ind w:firstLine="640"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sz w:val="32"/>
          <w:szCs w:val="32"/>
          <w:lang w:eastAsia="zh-CN"/>
        </w:rPr>
        <w:t>【利用股】</w:t>
      </w:r>
      <w:r>
        <w:rPr>
          <w:rFonts w:hint="eastAsia" w:ascii="仿宋_GB2312" w:hAnsi="仿宋_GB2312" w:eastAsia="仿宋_GB2312" w:cs="仿宋_GB2312"/>
          <w:sz w:val="32"/>
          <w:szCs w:val="32"/>
        </w:rPr>
        <w:t>编制上报</w:t>
      </w:r>
      <w:r>
        <w:rPr>
          <w:rFonts w:hint="eastAsia" w:ascii="仿宋_GB2312" w:hAnsi="仿宋_GB2312" w:eastAsia="仿宋_GB2312" w:cs="仿宋_GB2312"/>
          <w:sz w:val="32"/>
          <w:szCs w:val="32"/>
          <w:lang w:eastAsia="zh-CN"/>
        </w:rPr>
        <w:t>了</w:t>
      </w:r>
      <w:r>
        <w:rPr>
          <w:rFonts w:hint="eastAsia" w:ascii="仿宋_GB2312" w:hAnsi="仿宋_GB2312" w:eastAsia="仿宋_GB2312" w:cs="仿宋_GB2312"/>
          <w:sz w:val="32"/>
          <w:szCs w:val="32"/>
          <w:lang w:val="en-US" w:eastAsia="zh-CN"/>
        </w:rPr>
        <w:t>2024年</w:t>
      </w:r>
      <w:r>
        <w:rPr>
          <w:rFonts w:hint="eastAsia" w:ascii="仿宋_GB2312" w:hAnsi="仿宋_GB2312" w:eastAsia="仿宋_GB2312" w:cs="仿宋_GB2312"/>
          <w:sz w:val="32"/>
          <w:szCs w:val="32"/>
        </w:rPr>
        <w:t>国有建设用地供应计划</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color w:val="auto"/>
          <w:sz w:val="32"/>
          <w:szCs w:val="32"/>
          <w:lang w:val="en-US" w:eastAsia="zh-CN"/>
        </w:rPr>
        <w:t>积极对接市局上报各类批而未用的报表，及时到批而未用土地现场举证消化；</w:t>
      </w:r>
      <w:r>
        <w:rPr>
          <w:rFonts w:hint="eastAsia" w:ascii="仿宋_GB2312" w:hAnsi="仿宋_GB2312" w:eastAsia="仿宋_GB2312" w:cs="仿宋_GB2312"/>
          <w:color w:val="auto"/>
          <w:sz w:val="32"/>
          <w:szCs w:val="32"/>
        </w:rPr>
        <w:t>对全县在规定时间内需开工、需竣工的建设项目一一进行了现场踏勘、监管</w:t>
      </w:r>
      <w:r>
        <w:rPr>
          <w:rFonts w:hint="eastAsia" w:ascii="仿宋_GB2312" w:hAnsi="仿宋_GB2312" w:eastAsia="仿宋_GB2312" w:cs="仿宋_GB2312"/>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color w:val="auto"/>
          <w:sz w:val="32"/>
          <w:szCs w:val="32"/>
          <w:lang w:eastAsia="zh-CN"/>
        </w:rPr>
        <w:t>【</w:t>
      </w:r>
      <w:r>
        <w:rPr>
          <w:rFonts w:hint="eastAsia" w:ascii="仿宋_GB2312" w:hAnsi="仿宋_GB2312" w:eastAsia="仿宋_GB2312" w:cs="仿宋_GB2312"/>
          <w:b w:val="0"/>
          <w:bCs w:val="0"/>
          <w:sz w:val="32"/>
          <w:szCs w:val="32"/>
        </w:rPr>
        <w:t>不动产登记</w:t>
      </w:r>
      <w:r>
        <w:rPr>
          <w:rFonts w:hint="eastAsia" w:ascii="仿宋_GB2312" w:hAnsi="仿宋_GB2312" w:eastAsia="仿宋_GB2312" w:cs="仿宋_GB2312"/>
          <w:b w:val="0"/>
          <w:bCs w:val="0"/>
          <w:sz w:val="32"/>
          <w:szCs w:val="32"/>
          <w:lang w:eastAsia="zh-CN"/>
        </w:rPr>
        <w:t>中心</w:t>
      </w:r>
      <w:r>
        <w:rPr>
          <w:rFonts w:hint="eastAsia" w:ascii="仿宋_GB2312" w:hAnsi="仿宋_GB2312" w:eastAsia="仿宋_GB2312" w:cs="仿宋_GB2312"/>
          <w:b w:val="0"/>
          <w:bCs w:val="0"/>
          <w:color w:val="auto"/>
          <w:sz w:val="32"/>
          <w:szCs w:val="32"/>
          <w:lang w:eastAsia="zh-CN"/>
        </w:rPr>
        <w:t>】</w:t>
      </w:r>
      <w:r>
        <w:rPr>
          <w:rFonts w:hint="eastAsia" w:ascii="仿宋" w:hAnsi="仿宋" w:eastAsia="仿宋" w:cs="仿宋"/>
          <w:sz w:val="32"/>
          <w:szCs w:val="32"/>
          <w:lang w:val="en-US" w:eastAsia="zh-CN"/>
        </w:rPr>
        <w:t>截止2024年6月14日办理不动产登记业务8362件，其中首次登记2862件；转移登记1626件；变更登记735件；注销登记2200件；更正登记74件；预告登记417件；查封登记331件；其他登记117件。接待社会各界群众2.1万余人,查询量1.2万余次；收取不动产登记费54.1930万元，符合减免不动产登记费12.113万元。</w:t>
      </w:r>
    </w:p>
    <w:p>
      <w:pPr>
        <w:spacing w:line="540" w:lineRule="exact"/>
        <w:ind w:firstLine="64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b w:val="0"/>
          <w:bCs w:val="0"/>
          <w:sz w:val="32"/>
          <w:szCs w:val="32"/>
          <w:lang w:val="en-US" w:eastAsia="zh-CN"/>
        </w:rPr>
        <w:t>【</w:t>
      </w:r>
      <w:r>
        <w:rPr>
          <w:rFonts w:hint="eastAsia" w:ascii="仿宋_GB2312" w:hAnsi="仿宋_GB2312" w:eastAsia="仿宋_GB2312" w:cs="仿宋_GB2312"/>
          <w:color w:val="auto"/>
          <w:sz w:val="32"/>
          <w:szCs w:val="32"/>
        </w:rPr>
        <w:t>人</w:t>
      </w:r>
      <w:r>
        <w:rPr>
          <w:rFonts w:hint="eastAsia" w:ascii="仿宋_GB2312" w:hAnsi="仿宋_GB2312" w:eastAsia="仿宋_GB2312" w:cs="仿宋_GB2312"/>
          <w:color w:val="auto"/>
          <w:sz w:val="32"/>
          <w:szCs w:val="32"/>
          <w:lang w:eastAsia="zh-CN"/>
        </w:rPr>
        <w:t>事</w:t>
      </w:r>
      <w:r>
        <w:rPr>
          <w:rFonts w:hint="eastAsia" w:ascii="仿宋_GB2312" w:hAnsi="仿宋_GB2312" w:eastAsia="仿宋_GB2312" w:cs="仿宋_GB2312"/>
          <w:color w:val="auto"/>
          <w:sz w:val="32"/>
          <w:szCs w:val="32"/>
        </w:rPr>
        <w:t>股</w:t>
      </w:r>
      <w:r>
        <w:rPr>
          <w:rFonts w:hint="eastAsia" w:ascii="仿宋_GB2312" w:hAnsi="仿宋_GB2312" w:eastAsia="仿宋_GB2312" w:cs="仿宋_GB2312"/>
          <w:b w:val="0"/>
          <w:bCs w:val="0"/>
          <w:sz w:val="32"/>
          <w:szCs w:val="32"/>
          <w:lang w:val="en-US" w:eastAsia="zh-CN"/>
        </w:rPr>
        <w:t>】</w:t>
      </w:r>
      <w:r>
        <w:rPr>
          <w:rFonts w:hint="eastAsia" w:ascii="仿宋_GB2312" w:hAnsi="仿宋_GB2312" w:eastAsia="仿宋_GB2312" w:cs="仿宋_GB2312"/>
          <w:color w:val="auto"/>
          <w:sz w:val="32"/>
          <w:szCs w:val="32"/>
        </w:rPr>
        <w:t>做好了事业单位机构改革相关工作</w:t>
      </w:r>
      <w:r>
        <w:rPr>
          <w:rFonts w:hint="eastAsia" w:ascii="仿宋_GB2312" w:hAnsi="仿宋_GB2312" w:eastAsia="仿宋_GB2312" w:cs="仿宋_GB2312"/>
          <w:color w:val="auto"/>
          <w:sz w:val="32"/>
          <w:szCs w:val="32"/>
          <w:lang w:eastAsia="zh-CN"/>
        </w:rPr>
        <w:t>，牵头负责推进自然资源部部署专项治理行动工作；</w:t>
      </w:r>
      <w:r>
        <w:rPr>
          <w:rFonts w:hint="eastAsia" w:ascii="仿宋_GB2312" w:hAnsi="仿宋_GB2312" w:eastAsia="仿宋_GB2312" w:cs="仿宋_GB2312"/>
          <w:color w:val="auto"/>
          <w:sz w:val="32"/>
          <w:szCs w:val="32"/>
          <w:lang w:val="en-US" w:eastAsia="zh-CN"/>
        </w:rPr>
        <w:t>全面</w:t>
      </w:r>
      <w:r>
        <w:rPr>
          <w:rFonts w:hint="eastAsia" w:ascii="仿宋_GB2312" w:hAnsi="仿宋_GB2312" w:eastAsia="仿宋_GB2312" w:cs="仿宋_GB2312"/>
          <w:color w:val="auto"/>
          <w:sz w:val="32"/>
          <w:szCs w:val="32"/>
          <w:highlight w:val="none"/>
          <w:lang w:val="en-US" w:eastAsia="zh-CN"/>
        </w:rPr>
        <w:t>实行了竞争机制，</w:t>
      </w:r>
      <w:r>
        <w:rPr>
          <w:rFonts w:hint="eastAsia" w:ascii="仿宋_GB2312" w:hAnsi="仿宋_GB2312" w:eastAsia="仿宋_GB2312" w:cs="仿宋_GB2312"/>
          <w:color w:val="auto"/>
          <w:sz w:val="32"/>
          <w:szCs w:val="32"/>
          <w:lang w:val="en-US" w:eastAsia="zh-CN"/>
        </w:rPr>
        <w:t>组织了实绩评分及民主测评，</w:t>
      </w:r>
      <w:r>
        <w:rPr>
          <w:rFonts w:hint="eastAsia" w:ascii="仿宋_GB2312" w:hAnsi="仿宋_GB2312" w:eastAsia="仿宋_GB2312" w:cs="仿宋_GB2312"/>
          <w:color w:val="auto"/>
          <w:sz w:val="32"/>
          <w:szCs w:val="32"/>
          <w:highlight w:val="none"/>
          <w:lang w:val="en-US" w:eastAsia="zh-CN"/>
        </w:rPr>
        <w:t>有效激励了干部职工干事创业激情。</w:t>
      </w:r>
    </w:p>
    <w:p>
      <w:pPr>
        <w:pStyle w:val="2"/>
        <w:ind w:firstLine="320" w:firstLineChars="100"/>
        <w:rPr>
          <w:rFonts w:hint="eastAsia" w:ascii="仿宋_GB2312" w:hAnsi="仿宋_GB2312" w:eastAsia="仿宋_GB2312" w:cs="仿宋_GB2312"/>
          <w:sz w:val="32"/>
          <w:szCs w:val="32"/>
          <w:lang w:eastAsia="zh-CN"/>
        </w:rPr>
      </w:pPr>
      <w:r>
        <w:rPr>
          <w:rFonts w:hint="eastAsia" w:ascii="仿宋_GB2312" w:hAnsi="仿宋_GB2312" w:eastAsia="仿宋_GB2312" w:cs="仿宋_GB2312"/>
          <w:color w:val="auto"/>
          <w:sz w:val="32"/>
          <w:szCs w:val="32"/>
          <w:highlight w:val="none"/>
          <w:lang w:val="en-US" w:eastAsia="zh-CN"/>
        </w:rPr>
        <w:t>【法规股】</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024年共受理信访件24件，阳光信访平台4件，县信访局转办件20件，已受理17件，办结17件，剩余3件正在积极办理中，12345工单89件，按时办结率100%。</w:t>
      </w:r>
    </w:p>
    <w:p>
      <w:pPr>
        <w:pStyle w:val="2"/>
        <w:ind w:firstLine="320" w:firstLineChars="100"/>
        <w:rPr>
          <w:rFonts w:hint="eastAsia" w:ascii="仿宋_GB2312" w:eastAsia="仿宋_GB2312"/>
          <w:b w:val="0"/>
          <w:i w:val="0"/>
          <w:caps w:val="0"/>
          <w:spacing w:val="0"/>
          <w:w w:val="100"/>
          <w:sz w:val="32"/>
          <w:szCs w:val="32"/>
          <w:lang w:val="en-US" w:eastAsia="zh-CN"/>
        </w:rPr>
      </w:pPr>
      <w:r>
        <w:rPr>
          <w:rFonts w:hint="eastAsia" w:ascii="仿宋_GB2312" w:hAnsi="仿宋_GB2312" w:eastAsia="仿宋_GB2312" w:cs="仿宋_GB2312"/>
          <w:b w:val="0"/>
          <w:bCs w:val="0"/>
          <w:sz w:val="32"/>
          <w:szCs w:val="32"/>
          <w:lang w:val="en-US" w:eastAsia="zh-CN"/>
        </w:rPr>
        <w:t>【不动产权属争议调处服务股】</w:t>
      </w:r>
      <w:r>
        <w:rPr>
          <w:rFonts w:hint="eastAsia" w:ascii="仿宋_GB2312" w:eastAsia="仿宋_GB2312"/>
          <w:sz w:val="32"/>
          <w:szCs w:val="32"/>
          <w:lang w:val="en-US" w:eastAsia="zh-CN"/>
        </w:rPr>
        <w:t>2024年上半年</w:t>
      </w:r>
      <w:r>
        <w:rPr>
          <w:rFonts w:hint="eastAsia" w:ascii="仿宋_GB2312" w:eastAsia="仿宋_GB2312"/>
          <w:sz w:val="32"/>
          <w:szCs w:val="32"/>
        </w:rPr>
        <w:t>调解山林权属争议案件</w:t>
      </w:r>
      <w:r>
        <w:rPr>
          <w:rFonts w:hint="eastAsia" w:ascii="仿宋_GB2312" w:eastAsia="仿宋_GB2312"/>
          <w:sz w:val="32"/>
          <w:szCs w:val="32"/>
          <w:lang w:val="en-US" w:eastAsia="zh-CN"/>
        </w:rPr>
        <w:t>6</w:t>
      </w:r>
      <w:r>
        <w:rPr>
          <w:rFonts w:hint="eastAsia" w:ascii="仿宋_GB2312" w:eastAsia="仿宋_GB2312"/>
          <w:sz w:val="32"/>
          <w:szCs w:val="32"/>
        </w:rPr>
        <w:t>起，</w:t>
      </w:r>
      <w:r>
        <w:rPr>
          <w:rFonts w:hint="eastAsia" w:ascii="仿宋_GB2312" w:eastAsia="仿宋_GB2312"/>
          <w:sz w:val="32"/>
          <w:szCs w:val="32"/>
          <w:lang w:val="en-US" w:eastAsia="zh-CN"/>
        </w:rPr>
        <w:t>包括琴江镇湖下村排上小组与家沙小组山林权属争议，珠坑乡坳背村祠堂小组与屏山镇长溪村排上小组山林权属争议、屏山镇屏山村镜面小组与长溪村连塘小组林权争议、屏山镇长江村官桥头上组与官桥头下组林权争议等，</w:t>
      </w:r>
      <w:r>
        <w:rPr>
          <w:rFonts w:hint="eastAsia" w:ascii="仿宋_GB2312" w:eastAsia="仿宋_GB2312"/>
          <w:sz w:val="32"/>
          <w:szCs w:val="32"/>
        </w:rPr>
        <w:t>接待群众来访</w:t>
      </w:r>
      <w:r>
        <w:rPr>
          <w:rFonts w:hint="eastAsia" w:ascii="仿宋_GB2312" w:eastAsia="仿宋_GB2312"/>
          <w:sz w:val="32"/>
          <w:szCs w:val="32"/>
          <w:lang w:val="en-US" w:eastAsia="zh-CN"/>
        </w:rPr>
        <w:t>100余人次</w:t>
      </w:r>
      <w:r>
        <w:rPr>
          <w:rFonts w:hint="eastAsia" w:ascii="仿宋_GB2312" w:eastAsia="仿宋_GB2312"/>
          <w:b w:val="0"/>
          <w:i w:val="0"/>
          <w:caps w:val="0"/>
          <w:spacing w:val="0"/>
          <w:w w:val="100"/>
          <w:sz w:val="32"/>
          <w:szCs w:val="32"/>
          <w:lang w:val="en-US" w:eastAsia="zh-CN"/>
        </w:rPr>
        <w:t>，报请县人民政府下发处理决定1起，协助乡镇调处案件3起。</w:t>
      </w:r>
    </w:p>
    <w:p>
      <w:pPr>
        <w:pStyle w:val="2"/>
        <w:ind w:firstLine="320" w:firstLineChars="100"/>
        <w:rPr>
          <w:rFonts w:hint="eastAsia" w:ascii="仿宋_GB2312" w:hAnsi="仿宋_GB2312" w:eastAsia="仿宋_GB2312" w:cs="仿宋_GB2312"/>
          <w:b w:val="0"/>
          <w:i w:val="0"/>
          <w:caps w:val="0"/>
          <w:spacing w:val="0"/>
          <w:w w:val="100"/>
          <w:sz w:val="32"/>
          <w:szCs w:val="32"/>
          <w:lang w:val="en-US" w:eastAsia="zh-CN"/>
        </w:rPr>
      </w:pPr>
      <w:r>
        <w:rPr>
          <w:rFonts w:hint="eastAsia" w:ascii="仿宋_GB2312" w:eastAsia="仿宋_GB2312"/>
          <w:b w:val="0"/>
          <w:i w:val="0"/>
          <w:caps w:val="0"/>
          <w:spacing w:val="0"/>
          <w:w w:val="100"/>
          <w:sz w:val="32"/>
          <w:szCs w:val="32"/>
          <w:lang w:val="en-US" w:eastAsia="zh-CN"/>
        </w:rPr>
        <w:t>【地灾办】</w:t>
      </w:r>
      <w:r>
        <w:rPr>
          <w:rFonts w:hint="eastAsia" w:ascii="仿宋_GB2312" w:hAnsi="仿宋_GB2312" w:eastAsia="仿宋_GB2312" w:cs="仿宋_GB2312"/>
          <w:kern w:val="2"/>
          <w:sz w:val="32"/>
          <w:szCs w:val="32"/>
          <w:lang w:val="en-US" w:eastAsia="zh-CN" w:bidi="ar-SA"/>
        </w:rPr>
        <w:t>上半年上报申报2025年度地质灾害防治项目10个，经市自然资源局组织专家进行可行性论证通过了6个，项目总投资2059.21万元，待省厅组织专家进行再次评审，</w:t>
      </w:r>
      <w:bookmarkStart w:id="0" w:name="_GoBack"/>
      <w:bookmarkEnd w:id="0"/>
      <w:r>
        <w:rPr>
          <w:rFonts w:hint="eastAsia" w:ascii="仿宋_GB2312" w:hAnsi="仿宋_GB2312" w:eastAsia="仿宋_GB2312" w:cs="仿宋_GB2312"/>
          <w:kern w:val="2"/>
          <w:sz w:val="32"/>
          <w:szCs w:val="32"/>
          <w:lang w:val="en-US" w:eastAsia="zh-CN" w:bidi="ar-SA"/>
        </w:rPr>
        <w:t>上报5年储备22个项目（函上报的10个）。</w:t>
      </w:r>
    </w:p>
    <w:p>
      <w:pPr>
        <w:spacing w:line="540" w:lineRule="exact"/>
        <w:ind w:firstLine="640"/>
        <w:rPr>
          <w:rFonts w:hint="eastAsia" w:ascii="仿宋_GB2312" w:hAnsi="仿宋_GB2312" w:eastAsia="仿宋_GB2312" w:cs="仿宋_GB2312"/>
          <w:color w:val="auto"/>
          <w:sz w:val="32"/>
          <w:szCs w:val="32"/>
          <w:highlight w:val="none"/>
          <w:lang w:val="en-US" w:eastAsia="zh-CN"/>
        </w:rPr>
      </w:pPr>
    </w:p>
    <w:p>
      <w:pPr>
        <w:spacing w:line="540" w:lineRule="exact"/>
        <w:ind w:firstLine="640" w:firstLineChars="200"/>
        <w:rPr>
          <w:rFonts w:hint="eastAsia" w:ascii="仿宋_GB2312" w:hAnsi="仿宋_GB2312" w:eastAsia="仿宋_GB2312" w:cs="仿宋_GB2312"/>
          <w:color w:val="auto"/>
          <w:kern w:val="0"/>
          <w:sz w:val="32"/>
          <w:szCs w:val="32"/>
          <w:lang w:eastAsia="zh-CN"/>
        </w:rPr>
      </w:pPr>
    </w:p>
    <w:p>
      <w:pPr>
        <w:pStyle w:val="3"/>
        <w:keepNext w:val="0"/>
        <w:keepLines w:val="0"/>
        <w:pageBreakBefore w:val="0"/>
        <w:widowControl w:val="0"/>
        <w:numPr>
          <w:ilvl w:val="0"/>
          <w:numId w:val="0"/>
        </w:numPr>
        <w:kinsoku/>
        <w:wordWrap/>
        <w:overflowPunct/>
        <w:topLinePunct w:val="0"/>
        <w:autoSpaceDE/>
        <w:autoSpaceDN/>
        <w:bidi w:val="0"/>
        <w:adjustRightInd/>
        <w:spacing w:line="560" w:lineRule="exact"/>
        <w:ind w:firstLine="640" w:firstLineChars="200"/>
        <w:jc w:val="both"/>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960" w:firstLineChars="300"/>
        <w:jc w:val="both"/>
        <w:textAlignment w:val="center"/>
        <w:rPr>
          <w:rFonts w:hint="eastAsia" w:ascii="仿宋_GB2312" w:hAnsi="仿宋_GB2312" w:eastAsia="仿宋_GB2312" w:cs="仿宋_GB2312"/>
          <w:sz w:val="32"/>
          <w:szCs w:val="32"/>
          <w:lang w:val="en-US" w:eastAsia="zh-CN"/>
        </w:rPr>
      </w:pPr>
    </w:p>
    <w:p>
      <w:pPr>
        <w:spacing w:line="520" w:lineRule="exact"/>
        <w:ind w:firstLine="640" w:firstLineChars="200"/>
        <w:jc w:val="left"/>
        <w:textAlignment w:val="center"/>
        <w:rPr>
          <w:rFonts w:hint="eastAsia" w:ascii="仿宋_GB2312" w:hAnsi="仿宋_GB2312" w:eastAsia="仿宋_GB2312" w:cs="仿宋_GB2312"/>
          <w:kern w:val="0"/>
          <w:sz w:val="32"/>
          <w:szCs w:val="32"/>
          <w:lang w:val="en-US" w:eastAsia="zh-CN"/>
        </w:rPr>
      </w:pPr>
    </w:p>
    <w:p>
      <w:pPr>
        <w:ind w:firstLine="640" w:firstLineChars="200"/>
        <w:rPr>
          <w:rFonts w:hint="eastAsia" w:ascii="仿宋_GB2312" w:hAnsi="仿宋_GB2312" w:eastAsia="仿宋_GB2312" w:cs="仿宋_GB2312"/>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JjNGQwMTVjZjE1N2FlOGYyY2VmZTg5NmU2OWNmYWEifQ=="/>
  </w:docVars>
  <w:rsids>
    <w:rsidRoot w:val="027B3CB3"/>
    <w:rsid w:val="027B3CB3"/>
    <w:rsid w:val="0FC61CCF"/>
    <w:rsid w:val="342844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Plain Text"/>
    <w:basedOn w:val="1"/>
    <w:qFormat/>
    <w:uiPriority w:val="0"/>
    <w:pPr>
      <w:spacing w:line="576" w:lineRule="exact"/>
    </w:pPr>
    <w:rPr>
      <w:rFonts w:ascii="宋体" w:hAnsi="Courier New" w:eastAsia="Times New Roman" w:cs="宋体"/>
      <w:szCs w:val="21"/>
    </w:rPr>
  </w:style>
  <w:style w:type="paragraph" w:styleId="3">
    <w:name w:val="footer"/>
    <w:basedOn w:val="1"/>
    <w:unhideWhenUsed/>
    <w:qFormat/>
    <w:uiPriority w:val="99"/>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0</TotalTime>
  <ScaleCrop>false</ScaleCrop>
  <LinksUpToDate>false</LinksUpToDate>
  <CharactersWithSpaces>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2024-06-21T02:17:00Z</dcterms:created>
  <dc:creator>-</dc:creator>
  <cp:lastModifiedBy>-</cp:lastModifiedBy>
  <dcterms:modified xsi:type="dcterms:W3CDTF">2024-06-21T10:21:18Z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17607BB2E7B5410A82CB681F0A460574_11</vt:lpwstr>
  </property>
</Properties>
</file>