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E391D">
      <w:pPr>
        <w:pStyle w:val="6"/>
        <w:spacing w:line="540" w:lineRule="exact"/>
        <w:ind w:firstLine="0"/>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b w:val="0"/>
          <w:bCs w:val="0"/>
          <w:color w:val="auto"/>
          <w:sz w:val="44"/>
          <w:szCs w:val="44"/>
          <w:lang w:eastAsia="zh-CN"/>
        </w:rPr>
        <w:t>石城通用机场项目</w:t>
      </w:r>
      <w:r>
        <w:rPr>
          <w:rFonts w:hint="eastAsia" w:ascii="方正小标宋简体" w:hAnsi="方正小标宋简体" w:eastAsia="方正小标宋简体" w:cs="方正小标宋简体"/>
          <w:sz w:val="44"/>
          <w:szCs w:val="44"/>
        </w:rPr>
        <w:t>所涉土地征收补偿安置方案（征求意见稿）</w:t>
      </w:r>
    </w:p>
    <w:p w14:paraId="16C3D469">
      <w:pPr>
        <w:spacing w:line="540" w:lineRule="exact"/>
        <w:rPr>
          <w:rFonts w:hint="eastAsia" w:ascii="仿宋_GB2312" w:eastAsia="仿宋_GB2312"/>
          <w:sz w:val="32"/>
          <w:szCs w:val="32"/>
        </w:rPr>
      </w:pPr>
    </w:p>
    <w:p w14:paraId="431FCE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为切实规范</w:t>
      </w:r>
      <w:r>
        <w:rPr>
          <w:rFonts w:hint="eastAsia" w:ascii="仿宋_GB2312" w:hAnsi="仿宋_GB2312" w:eastAsia="仿宋_GB2312" w:cs="仿宋_GB2312"/>
          <w:b w:val="0"/>
          <w:bCs w:val="0"/>
          <w:sz w:val="32"/>
          <w:szCs w:val="32"/>
          <w:lang w:eastAsia="zh-CN"/>
        </w:rPr>
        <w:t>石城通用机场项目</w:t>
      </w:r>
      <w:r>
        <w:rPr>
          <w:rFonts w:hint="eastAsia" w:ascii="仿宋_GB2312" w:hAnsi="仿宋_GB2312" w:eastAsia="仿宋_GB2312" w:cs="仿宋_GB2312"/>
          <w:b w:val="0"/>
          <w:bCs w:val="0"/>
          <w:sz w:val="32"/>
          <w:szCs w:val="32"/>
        </w:rPr>
        <w:t>所涉土地征收补偿安置工作，全面维护被征收人合法权益，根据《中华人民共和国土地管理法》《中华人民共和国土地管理法实施条例》《江西省实施〈中华人民共和国土地管理法〉办法》《江西省征收土地管理办法》等法律法规规章规定，结合项目建设工作和县情实际，制定本方案。</w:t>
      </w:r>
    </w:p>
    <w:p w14:paraId="753C30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rPr>
        <w:t>一、工作原则</w:t>
      </w:r>
    </w:p>
    <w:p w14:paraId="753762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遵循决策民主、程序正当、补偿公平、结果公开的原则，依法组织实施征收工作。</w:t>
      </w:r>
    </w:p>
    <w:p w14:paraId="3E767D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二、征收目的</w:t>
      </w:r>
    </w:p>
    <w:p w14:paraId="185A57F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eastAsia="仿宋_GB2312"/>
          <w:color w:val="auto"/>
          <w:sz w:val="32"/>
          <w:szCs w:val="32"/>
        </w:rPr>
        <w:t>为全面贯彻落实省委省政府航空强省发展战略，抢抓国家低空空域航空产业发展的重要机遇，加快推动江西石城通用机场项目实施。</w:t>
      </w:r>
    </w:p>
    <w:p w14:paraId="3E42F5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三、征收范围及土地现状</w:t>
      </w:r>
    </w:p>
    <w:p w14:paraId="602945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（一）征收范围</w:t>
      </w:r>
    </w:p>
    <w:p w14:paraId="0C656B35">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rPr>
          <w:rFonts w:hint="eastAsia" w:ascii="仿宋_GB2312" w:eastAsia="仿宋_GB2312"/>
          <w:color w:val="auto"/>
          <w:sz w:val="32"/>
          <w:szCs w:val="32"/>
        </w:rPr>
      </w:pPr>
      <w:r>
        <w:rPr>
          <w:rFonts w:hint="eastAsia" w:ascii="仿宋_GB2312" w:hAnsi="仿宋_GB2312" w:eastAsia="仿宋_GB2312" w:cs="仿宋_GB2312"/>
          <w:color w:val="auto"/>
          <w:spacing w:val="-6"/>
          <w:sz w:val="32"/>
          <w:szCs w:val="32"/>
          <w:lang w:bidi="ar"/>
        </w:rPr>
        <w:t>拟征收</w:t>
      </w:r>
      <w:r>
        <w:rPr>
          <w:rFonts w:hint="eastAsia" w:ascii="仿宋_GB2312" w:eastAsia="仿宋_GB2312"/>
          <w:color w:val="auto"/>
          <w:sz w:val="32"/>
          <w:szCs w:val="32"/>
        </w:rPr>
        <w:t>项目地块一</w:t>
      </w:r>
      <w:r>
        <w:rPr>
          <w:rFonts w:hint="eastAsia" w:ascii="仿宋_GB2312" w:eastAsia="仿宋_GB2312"/>
          <w:color w:val="auto"/>
          <w:sz w:val="32"/>
          <w:szCs w:val="32"/>
          <w:lang w:eastAsia="zh-CN"/>
        </w:rPr>
        <w:t>：</w:t>
      </w:r>
      <w:r>
        <w:rPr>
          <w:rFonts w:hint="eastAsia" w:ascii="仿宋_GB2312" w:eastAsia="仿宋_GB2312"/>
          <w:color w:val="auto"/>
          <w:sz w:val="32"/>
          <w:szCs w:val="32"/>
        </w:rPr>
        <w:t>位于琴江镇湖下村、小松镇耸岗村</w:t>
      </w:r>
      <w:r>
        <w:rPr>
          <w:rFonts w:hint="eastAsia" w:ascii="仿宋_GB2312" w:eastAsia="仿宋_GB2312"/>
          <w:color w:val="auto"/>
          <w:sz w:val="32"/>
          <w:szCs w:val="32"/>
          <w:lang w:eastAsia="zh-CN"/>
        </w:rPr>
        <w:t>，</w:t>
      </w:r>
      <w:r>
        <w:rPr>
          <w:rFonts w:hint="eastAsia" w:ascii="仿宋_GB2312" w:eastAsia="仿宋_GB2312"/>
          <w:color w:val="auto"/>
          <w:sz w:val="32"/>
          <w:szCs w:val="32"/>
        </w:rPr>
        <w:t>东临虎斑垅小组、南临X822县道、西临X912县道、北临石脑山塘；</w:t>
      </w:r>
    </w:p>
    <w:p w14:paraId="29C84458">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rPr>
          <w:rFonts w:hint="eastAsia" w:ascii="仿宋_GB2312" w:eastAsia="仿宋_GB2312"/>
          <w:color w:val="auto"/>
          <w:sz w:val="32"/>
          <w:szCs w:val="32"/>
        </w:rPr>
      </w:pPr>
      <w:r>
        <w:rPr>
          <w:rFonts w:hint="eastAsia" w:ascii="仿宋_GB2312" w:hAnsi="仿宋_GB2312" w:eastAsia="仿宋_GB2312" w:cs="仿宋_GB2312"/>
          <w:color w:val="auto"/>
          <w:spacing w:val="-6"/>
          <w:sz w:val="32"/>
          <w:szCs w:val="32"/>
          <w:lang w:bidi="ar"/>
        </w:rPr>
        <w:t>拟征收</w:t>
      </w:r>
      <w:r>
        <w:rPr>
          <w:rFonts w:hint="eastAsia" w:ascii="仿宋_GB2312" w:eastAsia="仿宋_GB2312"/>
          <w:color w:val="auto"/>
          <w:sz w:val="32"/>
          <w:szCs w:val="32"/>
        </w:rPr>
        <w:t>地块二</w:t>
      </w:r>
      <w:r>
        <w:rPr>
          <w:rFonts w:hint="eastAsia" w:ascii="仿宋_GB2312" w:eastAsia="仿宋_GB2312"/>
          <w:color w:val="auto"/>
          <w:sz w:val="32"/>
          <w:szCs w:val="32"/>
          <w:lang w:eastAsia="zh-CN"/>
        </w:rPr>
        <w:t>：</w:t>
      </w:r>
      <w:r>
        <w:rPr>
          <w:rFonts w:hint="eastAsia" w:ascii="仿宋_GB2312" w:eastAsia="仿宋_GB2312"/>
          <w:color w:val="auto"/>
          <w:sz w:val="32"/>
          <w:szCs w:val="32"/>
        </w:rPr>
        <w:t>位于琴江镇坝口村</w:t>
      </w:r>
      <w:r>
        <w:rPr>
          <w:rFonts w:hint="eastAsia" w:ascii="仿宋_GB2312" w:eastAsia="仿宋_GB2312"/>
          <w:color w:val="auto"/>
          <w:sz w:val="32"/>
          <w:szCs w:val="32"/>
          <w:lang w:eastAsia="zh-CN"/>
        </w:rPr>
        <w:t>，</w:t>
      </w:r>
      <w:r>
        <w:rPr>
          <w:rFonts w:hint="eastAsia" w:ascii="仿宋_GB2312" w:eastAsia="仿宋_GB2312"/>
          <w:color w:val="auto"/>
          <w:sz w:val="32"/>
          <w:szCs w:val="32"/>
        </w:rPr>
        <w:t>东临烂泥石、南临天沐温泉、西临琴江河、北临矿业大道；</w:t>
      </w:r>
    </w:p>
    <w:p w14:paraId="007A987F">
      <w:pPr>
        <w:keepNext w:val="0"/>
        <w:keepLines w:val="0"/>
        <w:pageBreakBefore w:val="0"/>
        <w:widowControl w:val="0"/>
        <w:kinsoku/>
        <w:wordWrap/>
        <w:overflowPunct/>
        <w:topLinePunct w:val="0"/>
        <w:autoSpaceDE/>
        <w:autoSpaceDN/>
        <w:bidi w:val="0"/>
        <w:adjustRightInd/>
        <w:snapToGrid/>
        <w:spacing w:line="540" w:lineRule="exact"/>
        <w:ind w:firstLine="616"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color w:val="auto"/>
          <w:spacing w:val="-6"/>
          <w:sz w:val="32"/>
          <w:szCs w:val="32"/>
          <w:lang w:bidi="ar"/>
        </w:rPr>
        <w:t>拟征收</w:t>
      </w:r>
      <w:r>
        <w:rPr>
          <w:rFonts w:hint="eastAsia" w:ascii="仿宋_GB2312" w:eastAsia="仿宋_GB2312"/>
          <w:color w:val="auto"/>
          <w:sz w:val="32"/>
          <w:szCs w:val="32"/>
        </w:rPr>
        <w:t>地块三</w:t>
      </w:r>
      <w:r>
        <w:rPr>
          <w:rFonts w:hint="eastAsia" w:ascii="仿宋_GB2312" w:eastAsia="仿宋_GB2312"/>
          <w:color w:val="auto"/>
          <w:sz w:val="32"/>
          <w:szCs w:val="32"/>
          <w:lang w:eastAsia="zh-CN"/>
        </w:rPr>
        <w:t>：</w:t>
      </w:r>
      <w:r>
        <w:rPr>
          <w:rFonts w:hint="eastAsia" w:ascii="仿宋_GB2312" w:eastAsia="仿宋_GB2312"/>
          <w:color w:val="auto"/>
          <w:sz w:val="32"/>
          <w:szCs w:val="32"/>
        </w:rPr>
        <w:t>位于琴江镇琴口村琴口沙场东北处。</w:t>
      </w:r>
    </w:p>
    <w:p w14:paraId="09E124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（二）土地现状</w:t>
      </w:r>
    </w:p>
    <w:p w14:paraId="7E52B17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经调查，项目建设用地范围内所涉土地征收总面积约</w:t>
      </w:r>
      <w:r>
        <w:rPr>
          <w:rFonts w:hint="eastAsia" w:ascii="仿宋_GB2312" w:eastAsia="仿宋_GB2312"/>
          <w:color w:val="auto"/>
          <w:sz w:val="32"/>
          <w:szCs w:val="32"/>
          <w:lang w:val="en-US" w:eastAsia="zh-CN"/>
        </w:rPr>
        <w:t>1753.82</w:t>
      </w:r>
      <w:r>
        <w:rPr>
          <w:rFonts w:hint="eastAsia" w:ascii="仿宋_GB2312" w:eastAsia="仿宋_GB2312"/>
          <w:color w:val="auto"/>
          <w:sz w:val="32"/>
          <w:szCs w:val="32"/>
        </w:rPr>
        <w:t>亩</w:t>
      </w:r>
      <w:r>
        <w:rPr>
          <w:rFonts w:hint="eastAsia" w:ascii="仿宋_GB2312" w:eastAsia="仿宋_GB2312"/>
          <w:color w:val="auto"/>
          <w:sz w:val="32"/>
          <w:szCs w:val="32"/>
          <w:lang w:eastAsia="zh-CN"/>
        </w:rPr>
        <w:t>：耕地</w:t>
      </w:r>
      <w:r>
        <w:rPr>
          <w:rFonts w:hint="eastAsia" w:ascii="仿宋_GB2312" w:eastAsia="仿宋_GB2312"/>
          <w:color w:val="auto"/>
          <w:sz w:val="32"/>
          <w:szCs w:val="32"/>
          <w:lang w:val="en-US" w:eastAsia="zh-CN"/>
        </w:rPr>
        <w:t>417.66亩，其中水田370.3亩，林地889.97亩，园地307.82亩，坑塘水面19.14亩，其他农用地69.46亩，道路用地4.5亩，宅基地43.21亩，建设用地2.06亩</w:t>
      </w:r>
      <w:r>
        <w:rPr>
          <w:rFonts w:hint="eastAsia" w:ascii="仿宋_GB2312" w:eastAsia="仿宋_GB2312"/>
          <w:color w:val="auto"/>
          <w:sz w:val="32"/>
          <w:szCs w:val="32"/>
        </w:rPr>
        <w:t>。</w:t>
      </w:r>
    </w:p>
    <w:p w14:paraId="25FD4B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四、征收单位</w:t>
      </w:r>
    </w:p>
    <w:p w14:paraId="227BD7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（一）征收主体</w:t>
      </w:r>
    </w:p>
    <w:p w14:paraId="3972C9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石城县人民政府。</w:t>
      </w:r>
    </w:p>
    <w:p w14:paraId="104641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（二）集体土地征收部门</w:t>
      </w:r>
    </w:p>
    <w:p w14:paraId="1D5A8D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石城县自然资源局。</w:t>
      </w:r>
    </w:p>
    <w:p w14:paraId="218901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（三）征收实施单位</w:t>
      </w:r>
    </w:p>
    <w:p w14:paraId="503A20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琴江镇人民政府</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小松镇人民政府</w:t>
      </w:r>
      <w:r>
        <w:rPr>
          <w:rFonts w:hint="eastAsia" w:ascii="仿宋_GB2312" w:hAnsi="仿宋_GB2312" w:eastAsia="仿宋_GB2312" w:cs="仿宋_GB2312"/>
          <w:b w:val="0"/>
          <w:bCs w:val="0"/>
          <w:sz w:val="32"/>
          <w:szCs w:val="32"/>
        </w:rPr>
        <w:t>。</w:t>
      </w:r>
    </w:p>
    <w:p w14:paraId="7B80BC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（四）</w:t>
      </w:r>
      <w:r>
        <w:rPr>
          <w:rFonts w:hint="eastAsia" w:ascii="仿宋_GB2312" w:hAnsi="仿宋_GB2312" w:eastAsia="仿宋_GB2312" w:cs="仿宋_GB2312"/>
          <w:b w:val="0"/>
          <w:bCs w:val="0"/>
          <w:sz w:val="32"/>
          <w:szCs w:val="32"/>
          <w:lang w:val="en-US" w:eastAsia="zh-CN"/>
        </w:rPr>
        <w:t>地上附着物征收部门</w:t>
      </w:r>
    </w:p>
    <w:p w14:paraId="22C91F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琴江镇人民政府</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小松镇人民政府、石城县果茶发展服务中心、石城县民政局、石城县林业局</w:t>
      </w:r>
      <w:r>
        <w:rPr>
          <w:rFonts w:hint="eastAsia" w:ascii="仿宋_GB2312" w:hAnsi="仿宋_GB2312" w:eastAsia="仿宋_GB2312" w:cs="仿宋_GB2312"/>
          <w:b w:val="0"/>
          <w:bCs w:val="0"/>
          <w:sz w:val="32"/>
          <w:szCs w:val="32"/>
        </w:rPr>
        <w:t>。</w:t>
      </w:r>
    </w:p>
    <w:p w14:paraId="01B934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rPr>
        <w:t>五、土地征收补偿</w:t>
      </w:r>
    </w:p>
    <w:p w14:paraId="66395EBE">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outlineLvl w:val="9"/>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土地征收补偿标准，按照《江西省人民政府关于公布全省征地区片综合地价的通知》(赣府字〔2023〕23号)、《石城县人民政府关于公布石城县征地区片综合地价的通知》(石府字〔2023〕17号)和《石城县人民政府关于石城县地上附着物和青苗补偿标准的通知》（石府办字〔2024〕48号）有关规定执行。</w:t>
      </w:r>
    </w:p>
    <w:p w14:paraId="325840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、保障与监督</w:t>
      </w:r>
    </w:p>
    <w:p w14:paraId="22250A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所涉土地符合《江西省征收土地管理办法》规定的，社会保障参照《石城县人民政府关于印发石城县被征地农民参加基本养老保险实施细则的通知》（石府发〔2015〕25号）有关规定执行，由县人力资源和社会保障局办理。</w:t>
      </w:r>
    </w:p>
    <w:p w14:paraId="06E10E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征收过程中，工作人员（含测绘、评估）以及被征收对象伪造数据、涂改权属证明文件，虚报、瞒报有关数据，冒领、多领、骗取补偿款或者骗取安置面积的，由征收实施单位追回其补偿款、收回骗取的安置面积;涉嫌犯罪的，移送司法机关依法追究刑事责任。</w:t>
      </w:r>
    </w:p>
    <w:p w14:paraId="4EEDDE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（三）实施单位及其工作人员，测绘、评估机构及其工作人员，有关部门及其工作人员违反本方案及相关规定的，依法予以处理；涉嫌犯罪的，移送司法机关依法追究刑事责任。</w:t>
      </w:r>
    </w:p>
    <w:p w14:paraId="20D2CA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在规定的签约期限内未达成协议或房屋所有权人不明确的，由征收部门报县人民政府作出征收补偿决定；被征收人对征收补偿决定不服的，可申请行政复议或提起行政诉讼。在规定期限内未申请行政复议或提起行政诉讼，又未搬迁腾房的，申请法院强制执行。</w:t>
      </w:r>
    </w:p>
    <w:p w14:paraId="2E5F47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（五）阻挠和破坏征收工作，妨碍工作人员执行公务的，依法予以处理；涉嫌犯罪的，移送司法机关依法追究刑事责任。</w:t>
      </w:r>
    </w:p>
    <w:p w14:paraId="2A2907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eastAsia="zh-CN"/>
        </w:rPr>
        <w:t>七</w:t>
      </w:r>
      <w:r>
        <w:rPr>
          <w:rFonts w:hint="eastAsia" w:ascii="黑体" w:hAnsi="黑体" w:eastAsia="黑体" w:cs="黑体"/>
          <w:b w:val="0"/>
          <w:bCs w:val="0"/>
          <w:sz w:val="32"/>
          <w:szCs w:val="32"/>
        </w:rPr>
        <w:t>、其它事项</w:t>
      </w:r>
    </w:p>
    <w:p w14:paraId="2430E5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签订补偿协议时，被征收人应持身份证、产权登记证等有效证件到场，因故不能到场的可以委托他人持相关证件及委托书到场代签（委托书必须当众出具或进行公证），所有产权证全部收回，并按有关规定进行变更登记。</w:t>
      </w:r>
    </w:p>
    <w:p w14:paraId="490041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eastAsia="zh-CN"/>
        </w:rPr>
        <w:t>八</w:t>
      </w:r>
      <w:r>
        <w:rPr>
          <w:rFonts w:hint="eastAsia" w:ascii="黑体" w:hAnsi="黑体" w:eastAsia="黑体" w:cs="黑体"/>
          <w:b w:val="0"/>
          <w:bCs w:val="0"/>
          <w:sz w:val="32"/>
          <w:szCs w:val="32"/>
        </w:rPr>
        <w:t>、附则</w:t>
      </w:r>
    </w:p>
    <w:p w14:paraId="5F7A88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（一）本方案未尽事宜，由研判组报项目领导小组研究确定。</w:t>
      </w:r>
    </w:p>
    <w:p w14:paraId="14DF9C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（二）本方案自印发之日起施行；本方案与相关法律、法规、规章和上级文件不一致的，以相关法律、法规、规章和上级政策文件为准。</w:t>
      </w:r>
    </w:p>
    <w:p w14:paraId="35F73E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（三）本方案由征收单位负责解释。</w:t>
      </w:r>
    </w:p>
    <w:p w14:paraId="7E9F70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p>
    <w:p w14:paraId="234862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rPr>
      </w:pPr>
    </w:p>
    <w:p w14:paraId="2EA6C7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z w:val="32"/>
          <w:szCs w:val="32"/>
        </w:rPr>
        <w:t>附件：1.</w:t>
      </w:r>
      <w:r>
        <w:rPr>
          <w:rFonts w:hint="eastAsia" w:ascii="仿宋_GB2312" w:hAnsi="仿宋_GB2312" w:eastAsia="仿宋_GB2312" w:cs="仿宋_GB2312"/>
          <w:b w:val="0"/>
          <w:bCs w:val="0"/>
          <w:sz w:val="32"/>
          <w:szCs w:val="32"/>
          <w:lang w:eastAsia="zh-CN"/>
        </w:rPr>
        <w:t>石城通用机场项目</w:t>
      </w:r>
      <w:r>
        <w:rPr>
          <w:rFonts w:hint="eastAsia" w:ascii="仿宋_GB2312" w:hAnsi="仿宋_GB2312" w:eastAsia="仿宋_GB2312" w:cs="仿宋_GB2312"/>
          <w:b w:val="0"/>
          <w:bCs w:val="0"/>
          <w:spacing w:val="-6"/>
          <w:sz w:val="32"/>
          <w:szCs w:val="32"/>
        </w:rPr>
        <w:t>土地征收补偿标准</w:t>
      </w:r>
    </w:p>
    <w:p w14:paraId="35D169D2">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.石城县青苗及坑塘补偿标准表</w:t>
      </w:r>
    </w:p>
    <w:p w14:paraId="13E55E0A">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.石城县果树类补偿标准表</w:t>
      </w:r>
    </w:p>
    <w:p w14:paraId="795E40E0">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.石城县坟墓迁移补偿标准表</w:t>
      </w:r>
    </w:p>
    <w:p w14:paraId="6A559D51">
      <w:pPr>
        <w:spacing w:line="560" w:lineRule="exact"/>
        <w:ind w:firstLine="960" w:firstLineChars="3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14:paraId="72C89A83">
      <w:pPr>
        <w:spacing w:line="560" w:lineRule="exact"/>
        <w:rPr>
          <w:rFonts w:hint="default" w:ascii="黑体" w:hAnsi="黑体" w:eastAsia="黑体"/>
          <w:bCs/>
          <w:kern w:val="0"/>
          <w:sz w:val="32"/>
          <w:szCs w:val="32"/>
          <w:lang w:val="en-US" w:eastAsia="zh-CN" w:bidi="ar"/>
        </w:rPr>
        <w:sectPr>
          <w:headerReference r:id="rId3" w:type="default"/>
          <w:footerReference r:id="rId4" w:type="default"/>
          <w:pgSz w:w="11900" w:h="16838"/>
          <w:pgMar w:top="1587" w:right="1272" w:bottom="1587" w:left="1588" w:header="0" w:footer="964" w:gutter="0"/>
          <w:cols w:space="720" w:num="1"/>
          <w:docGrid w:linePitch="368" w:charSpace="0"/>
        </w:sectPr>
      </w:pPr>
      <w:r>
        <w:rPr>
          <w:rFonts w:hint="eastAsia" w:ascii="黑体" w:hAnsi="黑体" w:eastAsia="黑体"/>
          <w:bCs/>
          <w:kern w:val="0"/>
          <w:sz w:val="32"/>
          <w:szCs w:val="32"/>
          <w:lang w:val="en-US" w:eastAsia="zh-CN" w:bidi="ar"/>
        </w:rPr>
        <w:t xml:space="preserve">   </w:t>
      </w:r>
    </w:p>
    <w:p w14:paraId="665E0F91">
      <w:pPr>
        <w:spacing w:line="560" w:lineRule="exact"/>
        <w:rPr>
          <w:rFonts w:hint="eastAsia" w:eastAsia="黑体"/>
          <w:sz w:val="32"/>
          <w:szCs w:val="32"/>
        </w:rPr>
      </w:pPr>
      <w:r>
        <w:rPr>
          <w:rFonts w:hint="eastAsia" w:ascii="黑体" w:hAnsi="黑体" w:eastAsia="黑体"/>
          <w:bCs/>
          <w:kern w:val="0"/>
          <w:sz w:val="32"/>
          <w:szCs w:val="32"/>
          <w:lang w:bidi="ar"/>
        </w:rPr>
        <w:t>附件</w:t>
      </w:r>
      <w:r>
        <w:rPr>
          <w:rFonts w:hint="eastAsia" w:ascii="黑体" w:hAnsi="黑体" w:eastAsia="黑体"/>
          <w:kern w:val="0"/>
          <w:sz w:val="32"/>
          <w:szCs w:val="32"/>
          <w:lang w:bidi="ar"/>
        </w:rPr>
        <w:t>1</w:t>
      </w:r>
    </w:p>
    <w:p w14:paraId="7840BDD5">
      <w:pPr>
        <w:spacing w:line="590" w:lineRule="exact"/>
        <w:jc w:val="center"/>
        <w:rPr>
          <w:rFonts w:hint="eastAsia" w:ascii="方正小标宋简体" w:hAnsi="仿宋" w:eastAsia="方正小标宋简体"/>
          <w:color w:val="auto"/>
          <w:sz w:val="44"/>
          <w:szCs w:val="44"/>
          <w:highlight w:val="none"/>
        </w:rPr>
      </w:pPr>
      <w:r>
        <w:rPr>
          <w:rFonts w:hint="eastAsia" w:ascii="方正小标宋简体" w:hAnsi="仿宋" w:eastAsia="方正小标宋简体"/>
          <w:color w:val="auto"/>
          <w:sz w:val="44"/>
          <w:szCs w:val="44"/>
          <w:highlight w:val="none"/>
          <w:lang w:val="en-US" w:eastAsia="zh-CN"/>
        </w:rPr>
        <w:t>石城县通用机场建设项目</w:t>
      </w:r>
    </w:p>
    <w:p w14:paraId="49D5552B">
      <w:pPr>
        <w:spacing w:line="590" w:lineRule="exact"/>
        <w:jc w:val="center"/>
        <w:rPr>
          <w:rFonts w:hint="eastAsia" w:ascii="方正小标宋简体" w:hAnsi="仿宋" w:eastAsia="方正小标宋简体"/>
          <w:color w:val="auto"/>
          <w:sz w:val="44"/>
          <w:szCs w:val="44"/>
          <w:highlight w:val="none"/>
        </w:rPr>
      </w:pPr>
      <w:r>
        <w:rPr>
          <w:rFonts w:hint="eastAsia" w:ascii="方正小标宋简体" w:hAnsi="仿宋" w:eastAsia="方正小标宋简体"/>
          <w:color w:val="auto"/>
          <w:sz w:val="44"/>
          <w:szCs w:val="44"/>
          <w:highlight w:val="none"/>
        </w:rPr>
        <w:t>土地征收补偿标准</w:t>
      </w:r>
    </w:p>
    <w:p w14:paraId="6141AC71">
      <w:pPr>
        <w:spacing w:line="320" w:lineRule="exact"/>
        <w:jc w:val="center"/>
        <w:rPr>
          <w:rFonts w:hint="eastAsia" w:ascii="方正小标宋简体" w:hAnsi="仿宋" w:eastAsia="方正小标宋简体"/>
          <w:color w:val="auto"/>
          <w:sz w:val="44"/>
          <w:szCs w:val="44"/>
          <w:highlight w:val="none"/>
        </w:rPr>
      </w:pPr>
    </w:p>
    <w:p w14:paraId="5E7BFFCB">
      <w:pPr>
        <w:widowControl/>
        <w:shd w:val="clear" w:color="auto" w:fill="FFFFFF"/>
        <w:spacing w:line="590" w:lineRule="exact"/>
        <w:jc w:val="left"/>
        <w:rPr>
          <w:rFonts w:hint="eastAsia" w:ascii="仿宋_GB2312" w:hAnsi="仿宋_GB2312" w:eastAsia="仿宋_GB2312" w:cs="仿宋_GB2312"/>
          <w:color w:val="auto"/>
          <w:sz w:val="32"/>
          <w:szCs w:val="32"/>
          <w:highlight w:val="none"/>
        </w:rPr>
      </w:pPr>
      <w:r>
        <w:rPr>
          <w:rFonts w:hAnsi="仿宋"/>
          <w:color w:val="auto"/>
          <w:highlight w:val="none"/>
        </w:rPr>
        <w:t xml:space="preserve">                   </w:t>
      </w:r>
      <w:r>
        <w:rPr>
          <w:rFonts w:hint="eastAsia" w:hAnsi="仿宋"/>
          <w:color w:val="auto"/>
          <w:highlight w:val="none"/>
        </w:rPr>
        <w:t xml:space="preserve">                  </w:t>
      </w:r>
      <w:r>
        <w:rPr>
          <w:rFonts w:hAnsi="仿宋"/>
          <w:color w:val="auto"/>
          <w:highlight w:val="none"/>
        </w:rPr>
        <w:t xml:space="preserve">  </w:t>
      </w:r>
      <w:r>
        <w:rPr>
          <w:rFonts w:hint="eastAsia" w:hAnsi="仿宋"/>
          <w:color w:val="auto"/>
          <w:highlight w:val="none"/>
          <w:lang w:val="en-US" w:eastAsia="zh-CN"/>
        </w:rPr>
        <w:t xml:space="preserve">                 </w:t>
      </w:r>
      <w:r>
        <w:rPr>
          <w:rFonts w:hAnsi="仿宋"/>
          <w:color w:val="auto"/>
          <w:highlight w:val="none"/>
        </w:rPr>
        <w:t xml:space="preserve"> </w:t>
      </w:r>
      <w:r>
        <w:rPr>
          <w:rFonts w:hint="eastAsia" w:ascii="仿宋_GB2312" w:hAnsi="仿宋_GB2312" w:eastAsia="仿宋_GB2312" w:cs="仿宋_GB2312"/>
          <w:color w:val="auto"/>
          <w:sz w:val="32"/>
          <w:szCs w:val="32"/>
          <w:highlight w:val="none"/>
        </w:rPr>
        <w:t>单位：元/平方米</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1647"/>
        <w:gridCol w:w="1647"/>
        <w:gridCol w:w="4312"/>
      </w:tblGrid>
      <w:tr w14:paraId="0A948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noWrap w:val="0"/>
            <w:vAlign w:val="top"/>
          </w:tcPr>
          <w:p w14:paraId="0ED04741">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序号</w:t>
            </w:r>
          </w:p>
        </w:tc>
        <w:tc>
          <w:tcPr>
            <w:tcW w:w="3294" w:type="dxa"/>
            <w:gridSpan w:val="2"/>
            <w:noWrap w:val="0"/>
            <w:vAlign w:val="top"/>
          </w:tcPr>
          <w:p w14:paraId="025A210C">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地类</w:t>
            </w:r>
          </w:p>
        </w:tc>
        <w:tc>
          <w:tcPr>
            <w:tcW w:w="4312" w:type="dxa"/>
            <w:noWrap w:val="0"/>
            <w:vAlign w:val="top"/>
          </w:tcPr>
          <w:p w14:paraId="2E010BFC">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征地补偿标准（元/平方米）</w:t>
            </w:r>
          </w:p>
        </w:tc>
      </w:tr>
      <w:tr w14:paraId="13869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restart"/>
            <w:noWrap w:val="0"/>
            <w:vAlign w:val="center"/>
          </w:tcPr>
          <w:p w14:paraId="79D3E159">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p>
        </w:tc>
        <w:tc>
          <w:tcPr>
            <w:tcW w:w="1647" w:type="dxa"/>
            <w:vMerge w:val="restart"/>
            <w:noWrap w:val="0"/>
            <w:vAlign w:val="center"/>
          </w:tcPr>
          <w:p w14:paraId="18321932">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耕地</w:t>
            </w:r>
          </w:p>
        </w:tc>
        <w:tc>
          <w:tcPr>
            <w:tcW w:w="1647" w:type="dxa"/>
            <w:noWrap w:val="0"/>
            <w:vAlign w:val="center"/>
          </w:tcPr>
          <w:p w14:paraId="63C6F88E">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琴江镇</w:t>
            </w:r>
          </w:p>
        </w:tc>
        <w:tc>
          <w:tcPr>
            <w:tcW w:w="4312" w:type="dxa"/>
            <w:noWrap w:val="0"/>
            <w:vAlign w:val="center"/>
          </w:tcPr>
          <w:p w14:paraId="26DB0F23">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73.5</w:t>
            </w:r>
          </w:p>
        </w:tc>
      </w:tr>
      <w:tr w14:paraId="51AF0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continue"/>
            <w:noWrap w:val="0"/>
            <w:vAlign w:val="center"/>
          </w:tcPr>
          <w:p w14:paraId="5B953B4B">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vMerge w:val="continue"/>
            <w:noWrap w:val="0"/>
            <w:vAlign w:val="center"/>
          </w:tcPr>
          <w:p w14:paraId="3123E37C">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noWrap w:val="0"/>
            <w:vAlign w:val="center"/>
          </w:tcPr>
          <w:p w14:paraId="6E093CD1">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小松镇</w:t>
            </w:r>
          </w:p>
        </w:tc>
        <w:tc>
          <w:tcPr>
            <w:tcW w:w="4312" w:type="dxa"/>
            <w:noWrap w:val="0"/>
            <w:vAlign w:val="center"/>
          </w:tcPr>
          <w:p w14:paraId="1C5BC3E7">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68.1</w:t>
            </w:r>
          </w:p>
        </w:tc>
      </w:tr>
      <w:tr w14:paraId="04894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restart"/>
            <w:noWrap w:val="0"/>
            <w:vAlign w:val="center"/>
          </w:tcPr>
          <w:p w14:paraId="3BB1B680">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p>
        </w:tc>
        <w:tc>
          <w:tcPr>
            <w:tcW w:w="1647" w:type="dxa"/>
            <w:vMerge w:val="restart"/>
            <w:noWrap w:val="0"/>
            <w:vAlign w:val="center"/>
          </w:tcPr>
          <w:p w14:paraId="6FADF52E">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林地</w:t>
            </w:r>
          </w:p>
        </w:tc>
        <w:tc>
          <w:tcPr>
            <w:tcW w:w="1647" w:type="dxa"/>
            <w:noWrap w:val="0"/>
            <w:vAlign w:val="center"/>
          </w:tcPr>
          <w:p w14:paraId="489D6FD3">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琴江镇</w:t>
            </w:r>
          </w:p>
        </w:tc>
        <w:tc>
          <w:tcPr>
            <w:tcW w:w="4312" w:type="dxa"/>
            <w:noWrap w:val="0"/>
            <w:vAlign w:val="center"/>
          </w:tcPr>
          <w:p w14:paraId="56A278A4">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51.45</w:t>
            </w:r>
          </w:p>
        </w:tc>
      </w:tr>
      <w:tr w14:paraId="05B4A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continue"/>
            <w:noWrap w:val="0"/>
            <w:vAlign w:val="center"/>
          </w:tcPr>
          <w:p w14:paraId="75C2E97C">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vMerge w:val="continue"/>
            <w:noWrap w:val="0"/>
            <w:vAlign w:val="center"/>
          </w:tcPr>
          <w:p w14:paraId="12A3D15F">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noWrap w:val="0"/>
            <w:vAlign w:val="center"/>
          </w:tcPr>
          <w:p w14:paraId="079A9431">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小松镇</w:t>
            </w:r>
          </w:p>
        </w:tc>
        <w:tc>
          <w:tcPr>
            <w:tcW w:w="4312" w:type="dxa"/>
            <w:noWrap w:val="0"/>
            <w:vAlign w:val="center"/>
          </w:tcPr>
          <w:p w14:paraId="2E9BB190">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47.67</w:t>
            </w:r>
          </w:p>
        </w:tc>
      </w:tr>
      <w:tr w14:paraId="385F0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restart"/>
            <w:noWrap w:val="0"/>
            <w:vAlign w:val="center"/>
          </w:tcPr>
          <w:p w14:paraId="1C8AAF08">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p>
        </w:tc>
        <w:tc>
          <w:tcPr>
            <w:tcW w:w="1647" w:type="dxa"/>
            <w:vMerge w:val="restart"/>
            <w:noWrap w:val="0"/>
            <w:vAlign w:val="center"/>
          </w:tcPr>
          <w:p w14:paraId="5F408884">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未利用地</w:t>
            </w:r>
          </w:p>
        </w:tc>
        <w:tc>
          <w:tcPr>
            <w:tcW w:w="1647" w:type="dxa"/>
            <w:noWrap w:val="0"/>
            <w:vAlign w:val="center"/>
          </w:tcPr>
          <w:p w14:paraId="1C6E94BE">
            <w:pPr>
              <w:widowControl/>
              <w:tabs>
                <w:tab w:val="left" w:pos="6511"/>
              </w:tabs>
              <w:spacing w:line="590" w:lineRule="exact"/>
              <w:jc w:val="center"/>
              <w:rPr>
                <w:rFonts w:hint="eastAsia" w:ascii="仿宋_GB2312" w:hAnsi="仿宋_GB2312" w:eastAsia="仿宋_GB2312" w:cs="仿宋_GB2312"/>
                <w:color w:val="auto"/>
                <w:spacing w:val="-4"/>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琴江镇</w:t>
            </w:r>
          </w:p>
        </w:tc>
        <w:tc>
          <w:tcPr>
            <w:tcW w:w="4312" w:type="dxa"/>
            <w:noWrap w:val="0"/>
            <w:vAlign w:val="center"/>
          </w:tcPr>
          <w:p w14:paraId="7F107EF8">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44.1</w:t>
            </w:r>
          </w:p>
        </w:tc>
      </w:tr>
      <w:tr w14:paraId="3E5C1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 w:type="dxa"/>
            <w:vMerge w:val="continue"/>
            <w:noWrap w:val="0"/>
            <w:vAlign w:val="center"/>
          </w:tcPr>
          <w:p w14:paraId="4E814B8F">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p>
        </w:tc>
        <w:tc>
          <w:tcPr>
            <w:tcW w:w="1647" w:type="dxa"/>
            <w:vMerge w:val="continue"/>
            <w:noWrap w:val="0"/>
            <w:vAlign w:val="center"/>
          </w:tcPr>
          <w:p w14:paraId="2D1255C8">
            <w:pPr>
              <w:widowControl/>
              <w:tabs>
                <w:tab w:val="left" w:pos="6511"/>
              </w:tabs>
              <w:spacing w:line="590" w:lineRule="exact"/>
              <w:jc w:val="center"/>
              <w:rPr>
                <w:rFonts w:hint="eastAsia" w:ascii="仿宋_GB2312" w:hAnsi="仿宋_GB2312" w:eastAsia="仿宋_GB2312" w:cs="仿宋_GB2312"/>
                <w:color w:val="auto"/>
                <w:sz w:val="32"/>
                <w:szCs w:val="32"/>
                <w:highlight w:val="none"/>
              </w:rPr>
            </w:pPr>
          </w:p>
        </w:tc>
        <w:tc>
          <w:tcPr>
            <w:tcW w:w="1647" w:type="dxa"/>
            <w:noWrap w:val="0"/>
            <w:vAlign w:val="center"/>
          </w:tcPr>
          <w:p w14:paraId="74FF213A">
            <w:pPr>
              <w:widowControl/>
              <w:tabs>
                <w:tab w:val="left" w:pos="6511"/>
              </w:tabs>
              <w:spacing w:line="590" w:lineRule="exact"/>
              <w:jc w:val="center"/>
              <w:rPr>
                <w:rFonts w:hint="eastAsia" w:ascii="仿宋_GB2312" w:hAnsi="仿宋_GB2312" w:eastAsia="仿宋_GB2312" w:cs="仿宋_GB2312"/>
                <w:color w:val="auto"/>
                <w:spacing w:val="-4"/>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小松镇</w:t>
            </w:r>
          </w:p>
        </w:tc>
        <w:tc>
          <w:tcPr>
            <w:tcW w:w="4312" w:type="dxa"/>
            <w:noWrap w:val="0"/>
            <w:vAlign w:val="center"/>
          </w:tcPr>
          <w:p w14:paraId="3078D43C">
            <w:pPr>
              <w:widowControl/>
              <w:tabs>
                <w:tab w:val="left" w:pos="6511"/>
              </w:tabs>
              <w:spacing w:line="590" w:lineRule="exact"/>
              <w:jc w:val="center"/>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40.86</w:t>
            </w:r>
          </w:p>
        </w:tc>
      </w:tr>
    </w:tbl>
    <w:p w14:paraId="606F4A34">
      <w:pPr>
        <w:widowControl/>
        <w:shd w:val="clear" w:color="auto" w:fill="FFFFFF"/>
        <w:tabs>
          <w:tab w:val="left" w:pos="6511"/>
        </w:tabs>
        <w:spacing w:line="590" w:lineRule="exact"/>
        <w:ind w:firstLine="640" w:firstLineChars="200"/>
        <w:jc w:val="left"/>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eastAsia="zh-CN"/>
        </w:rPr>
        <w:t>备注：其他地类参照《石城县人民政府关于公布石城县征地片区综合地价的通知》（石府字</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2023</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17）号文件执行</w:t>
      </w:r>
      <w:r>
        <w:rPr>
          <w:rFonts w:hint="eastAsia" w:ascii="仿宋_GB2312" w:eastAsia="仿宋_GB2312"/>
          <w:color w:val="auto"/>
          <w:sz w:val="32"/>
          <w:szCs w:val="32"/>
          <w:highlight w:val="none"/>
          <w:lang w:val="en-US" w:eastAsia="zh-CN"/>
        </w:rPr>
        <w:t>。</w:t>
      </w:r>
    </w:p>
    <w:p w14:paraId="21F04035">
      <w:pPr>
        <w:widowControl/>
        <w:spacing w:line="560" w:lineRule="exact"/>
        <w:rPr>
          <w:rFonts w:hint="eastAsia" w:ascii="黑体" w:hAnsi="黑体" w:eastAsia="黑体"/>
          <w:sz w:val="32"/>
          <w:szCs w:val="32"/>
        </w:rPr>
      </w:pPr>
    </w:p>
    <w:p w14:paraId="5FE5A388">
      <w:pPr>
        <w:spacing w:line="560" w:lineRule="exact"/>
        <w:jc w:val="left"/>
        <w:rPr>
          <w:rFonts w:hint="eastAsia" w:ascii="黑体" w:hAnsi="黑体" w:eastAsia="黑体"/>
          <w:sz w:val="32"/>
          <w:szCs w:val="32"/>
        </w:rPr>
      </w:pPr>
    </w:p>
    <w:p w14:paraId="51064706">
      <w:pPr>
        <w:spacing w:line="560" w:lineRule="exact"/>
        <w:jc w:val="left"/>
        <w:rPr>
          <w:rFonts w:hint="eastAsia" w:ascii="黑体" w:hAnsi="黑体" w:eastAsia="黑体"/>
          <w:sz w:val="32"/>
          <w:szCs w:val="32"/>
        </w:rPr>
      </w:pPr>
    </w:p>
    <w:p w14:paraId="00835AFB">
      <w:pPr>
        <w:spacing w:line="560" w:lineRule="exact"/>
        <w:jc w:val="left"/>
        <w:rPr>
          <w:rFonts w:hint="eastAsia" w:ascii="黑体" w:hAnsi="黑体" w:eastAsia="黑体"/>
          <w:sz w:val="32"/>
          <w:szCs w:val="32"/>
        </w:rPr>
      </w:pPr>
    </w:p>
    <w:p w14:paraId="5260BA9A">
      <w:pPr>
        <w:spacing w:line="560" w:lineRule="exact"/>
        <w:jc w:val="left"/>
        <w:rPr>
          <w:rFonts w:hint="eastAsia" w:ascii="黑体" w:hAnsi="黑体" w:eastAsia="黑体"/>
          <w:sz w:val="32"/>
          <w:szCs w:val="32"/>
        </w:rPr>
      </w:pPr>
    </w:p>
    <w:p w14:paraId="4BD24C4B">
      <w:pPr>
        <w:spacing w:line="560" w:lineRule="exact"/>
        <w:jc w:val="left"/>
        <w:rPr>
          <w:rFonts w:hint="eastAsia" w:ascii="黑体" w:hAnsi="黑体" w:eastAsia="黑体"/>
          <w:sz w:val="32"/>
          <w:szCs w:val="32"/>
        </w:rPr>
      </w:pPr>
    </w:p>
    <w:p w14:paraId="14B25FD1">
      <w:pPr>
        <w:spacing w:line="560" w:lineRule="exact"/>
        <w:jc w:val="left"/>
        <w:rPr>
          <w:rFonts w:hint="eastAsia" w:ascii="黑体" w:hAnsi="黑体" w:eastAsia="黑体"/>
          <w:sz w:val="32"/>
          <w:szCs w:val="32"/>
        </w:rPr>
      </w:pPr>
    </w:p>
    <w:p w14:paraId="41D64A42">
      <w:pPr>
        <w:spacing w:line="560" w:lineRule="exact"/>
        <w:jc w:val="left"/>
        <w:rPr>
          <w:rFonts w:hint="eastAsia" w:ascii="黑体" w:hAnsi="黑体" w:eastAsia="黑体"/>
          <w:sz w:val="32"/>
          <w:szCs w:val="32"/>
        </w:rPr>
      </w:pPr>
    </w:p>
    <w:p w14:paraId="13331308">
      <w:pPr>
        <w:spacing w:line="560" w:lineRule="exact"/>
        <w:jc w:val="left"/>
        <w:rPr>
          <w:rFonts w:hint="eastAsia" w:ascii="黑体" w:hAnsi="黑体" w:eastAsia="黑体"/>
          <w:sz w:val="32"/>
          <w:szCs w:val="32"/>
        </w:rPr>
      </w:pPr>
    </w:p>
    <w:p w14:paraId="001E6399">
      <w:pPr>
        <w:spacing w:line="560" w:lineRule="exact"/>
        <w:jc w:val="left"/>
        <w:rPr>
          <w:rFonts w:hint="eastAsia" w:ascii="黑体" w:hAnsi="黑体" w:eastAsia="黑体"/>
          <w:sz w:val="32"/>
          <w:szCs w:val="32"/>
        </w:rPr>
      </w:pPr>
    </w:p>
    <w:p w14:paraId="182F0E6D">
      <w:pPr>
        <w:spacing w:line="560" w:lineRule="exact"/>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14:paraId="45208733">
      <w:pPr>
        <w:spacing w:line="560" w:lineRule="exact"/>
        <w:jc w:val="center"/>
        <w:rPr>
          <w:rFonts w:hint="eastAsia" w:ascii="方正小标宋简体" w:hAnsi="宋体" w:eastAsia="方正小标宋简体"/>
          <w:bCs/>
          <w:color w:val="000000"/>
          <w:kern w:val="0"/>
          <w:sz w:val="44"/>
          <w:szCs w:val="44"/>
          <w:lang w:bidi="ar"/>
        </w:rPr>
      </w:pPr>
      <w:r>
        <w:rPr>
          <w:rFonts w:hint="eastAsia" w:ascii="方正小标宋简体" w:hAnsi="宋体" w:eastAsia="方正小标宋简体"/>
          <w:bCs/>
          <w:color w:val="000000"/>
          <w:kern w:val="0"/>
          <w:sz w:val="44"/>
          <w:szCs w:val="44"/>
          <w:lang w:bidi="ar"/>
        </w:rPr>
        <w:t>石城县青苗及坑塘补偿标准表</w:t>
      </w:r>
    </w:p>
    <w:p w14:paraId="697F11D6">
      <w:pPr>
        <w:pStyle w:val="10"/>
        <w:ind w:firstLine="320"/>
        <w:rPr>
          <w:rFonts w:hint="eastAsia"/>
          <w:sz w:val="16"/>
          <w:szCs w:val="16"/>
        </w:rPr>
      </w:pPr>
    </w:p>
    <w:tbl>
      <w:tblPr>
        <w:tblStyle w:val="7"/>
        <w:tblW w:w="0" w:type="auto"/>
        <w:tblInd w:w="0" w:type="dxa"/>
        <w:tblLayout w:type="fixed"/>
        <w:tblCellMar>
          <w:top w:w="0" w:type="dxa"/>
          <w:left w:w="108" w:type="dxa"/>
          <w:bottom w:w="0" w:type="dxa"/>
          <w:right w:w="108" w:type="dxa"/>
        </w:tblCellMar>
      </w:tblPr>
      <w:tblGrid>
        <w:gridCol w:w="589"/>
        <w:gridCol w:w="1115"/>
        <w:gridCol w:w="1884"/>
        <w:gridCol w:w="2753"/>
        <w:gridCol w:w="2602"/>
      </w:tblGrid>
      <w:tr w14:paraId="491CE953">
        <w:tblPrEx>
          <w:tblCellMar>
            <w:top w:w="0" w:type="dxa"/>
            <w:left w:w="108" w:type="dxa"/>
            <w:bottom w:w="0" w:type="dxa"/>
            <w:right w:w="108" w:type="dxa"/>
          </w:tblCellMar>
        </w:tblPrEx>
        <w:trPr>
          <w:trHeight w:val="502" w:hRule="atLeast"/>
        </w:trPr>
        <w:tc>
          <w:tcPr>
            <w:tcW w:w="589" w:type="dxa"/>
            <w:tcBorders>
              <w:top w:val="single" w:color="000000" w:sz="4" w:space="0"/>
              <w:left w:val="single" w:color="000000" w:sz="4" w:space="0"/>
              <w:bottom w:val="single" w:color="000000" w:sz="4" w:space="0"/>
              <w:right w:val="single" w:color="000000" w:sz="4" w:space="0"/>
            </w:tcBorders>
            <w:noWrap w:val="0"/>
            <w:vAlign w:val="center"/>
          </w:tcPr>
          <w:p w14:paraId="430ADCB4">
            <w:pPr>
              <w:widowControl/>
              <w:jc w:val="center"/>
              <w:textAlignment w:val="center"/>
              <w:rPr>
                <w:rFonts w:hint="eastAsia" w:ascii="仿宋_GB2312" w:hAnsi="仿宋_GB2312" w:eastAsia="仿宋_GB2312" w:cs="仿宋_GB2312"/>
                <w:color w:val="000000"/>
                <w:kern w:val="0"/>
                <w:sz w:val="28"/>
                <w:lang w:bidi="ar"/>
              </w:rPr>
            </w:pPr>
            <w:r>
              <w:rPr>
                <w:rFonts w:hint="eastAsia" w:ascii="仿宋_GB2312" w:hAnsi="仿宋_GB2312" w:eastAsia="仿宋_GB2312" w:cs="仿宋_GB2312"/>
                <w:color w:val="000000"/>
                <w:kern w:val="0"/>
                <w:sz w:val="28"/>
                <w:lang w:bidi="ar"/>
              </w:rPr>
              <w:t>序号</w:t>
            </w:r>
          </w:p>
        </w:tc>
        <w:tc>
          <w:tcPr>
            <w:tcW w:w="1115" w:type="dxa"/>
            <w:tcBorders>
              <w:top w:val="single" w:color="000000" w:sz="4" w:space="0"/>
              <w:left w:val="single" w:color="000000" w:sz="4" w:space="0"/>
              <w:bottom w:val="single" w:color="000000" w:sz="4" w:space="0"/>
              <w:right w:val="single" w:color="000000" w:sz="4" w:space="0"/>
            </w:tcBorders>
            <w:noWrap w:val="0"/>
            <w:vAlign w:val="center"/>
          </w:tcPr>
          <w:p w14:paraId="1917DD78">
            <w:pPr>
              <w:widowControl/>
              <w:jc w:val="center"/>
              <w:textAlignment w:val="center"/>
              <w:rPr>
                <w:rFonts w:hint="eastAsia" w:ascii="仿宋_GB2312" w:hAnsi="仿宋_GB2312" w:eastAsia="仿宋_GB2312" w:cs="仿宋_GB2312"/>
                <w:color w:val="000000"/>
                <w:sz w:val="28"/>
              </w:rPr>
            </w:pPr>
            <w:r>
              <w:rPr>
                <w:rFonts w:hint="eastAsia" w:ascii="仿宋_GB2312" w:hAnsi="仿宋_GB2312" w:eastAsia="仿宋_GB2312" w:cs="仿宋_GB2312"/>
                <w:color w:val="000000"/>
                <w:kern w:val="0"/>
                <w:sz w:val="28"/>
                <w:lang w:bidi="ar"/>
              </w:rPr>
              <w:t>类别</w:t>
            </w:r>
          </w:p>
        </w:tc>
        <w:tc>
          <w:tcPr>
            <w:tcW w:w="1884" w:type="dxa"/>
            <w:tcBorders>
              <w:top w:val="single" w:color="000000" w:sz="4" w:space="0"/>
              <w:left w:val="single" w:color="000000" w:sz="4" w:space="0"/>
              <w:bottom w:val="single" w:color="000000" w:sz="4" w:space="0"/>
              <w:right w:val="single" w:color="000000" w:sz="4" w:space="0"/>
            </w:tcBorders>
            <w:noWrap w:val="0"/>
            <w:vAlign w:val="center"/>
          </w:tcPr>
          <w:p w14:paraId="1D454A08">
            <w:pPr>
              <w:widowControl/>
              <w:jc w:val="center"/>
              <w:textAlignment w:val="center"/>
              <w:rPr>
                <w:rFonts w:hint="eastAsia" w:ascii="仿宋_GB2312" w:hAnsi="仿宋_GB2312" w:eastAsia="仿宋_GB2312" w:cs="仿宋_GB2312"/>
                <w:color w:val="000000"/>
                <w:sz w:val="28"/>
                <w:szCs w:val="21"/>
              </w:rPr>
            </w:pPr>
            <w:r>
              <w:rPr>
                <w:rFonts w:hint="eastAsia" w:ascii="仿宋_GB2312" w:hAnsi="仿宋_GB2312" w:eastAsia="仿宋_GB2312" w:cs="仿宋_GB2312"/>
                <w:color w:val="000000"/>
                <w:sz w:val="28"/>
              </w:rPr>
              <w:t>单位</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B0E8D94">
            <w:pPr>
              <w:widowControl/>
              <w:jc w:val="center"/>
              <w:textAlignment w:val="center"/>
              <w:rPr>
                <w:rFonts w:hint="eastAsia" w:ascii="仿宋_GB2312" w:hAnsi="仿宋_GB2312" w:eastAsia="仿宋_GB2312" w:cs="仿宋_GB2312"/>
                <w:color w:val="000000"/>
                <w:sz w:val="28"/>
              </w:rPr>
            </w:pPr>
            <w:r>
              <w:rPr>
                <w:rFonts w:hint="eastAsia" w:ascii="仿宋_GB2312" w:hAnsi="仿宋_GB2312" w:eastAsia="仿宋_GB2312" w:cs="仿宋_GB2312"/>
                <w:color w:val="000000"/>
                <w:kern w:val="0"/>
                <w:sz w:val="28"/>
                <w:lang w:bidi="ar"/>
              </w:rPr>
              <w:t>补偿标准（元）</w:t>
            </w:r>
          </w:p>
        </w:tc>
        <w:tc>
          <w:tcPr>
            <w:tcW w:w="2602" w:type="dxa"/>
            <w:tcBorders>
              <w:top w:val="single" w:color="000000" w:sz="4" w:space="0"/>
              <w:left w:val="single" w:color="000000" w:sz="4" w:space="0"/>
              <w:bottom w:val="single" w:color="000000" w:sz="4" w:space="0"/>
              <w:right w:val="single" w:color="000000" w:sz="4" w:space="0"/>
            </w:tcBorders>
            <w:noWrap w:val="0"/>
            <w:vAlign w:val="center"/>
          </w:tcPr>
          <w:p w14:paraId="7A0F4DAD">
            <w:pPr>
              <w:widowControl/>
              <w:jc w:val="center"/>
              <w:textAlignment w:val="center"/>
              <w:rPr>
                <w:rFonts w:hint="eastAsia" w:ascii="仿宋_GB2312" w:hAnsi="仿宋_GB2312" w:eastAsia="仿宋_GB2312" w:cs="仿宋_GB2312"/>
                <w:color w:val="000000"/>
                <w:kern w:val="0"/>
                <w:sz w:val="28"/>
                <w:lang w:bidi="ar"/>
              </w:rPr>
            </w:pPr>
            <w:r>
              <w:rPr>
                <w:rFonts w:hint="eastAsia" w:ascii="仿宋_GB2312" w:hAnsi="仿宋_GB2312" w:eastAsia="仿宋_GB2312" w:cs="仿宋_GB2312"/>
                <w:color w:val="000000"/>
                <w:kern w:val="0"/>
                <w:sz w:val="28"/>
                <w:lang w:bidi="ar"/>
              </w:rPr>
              <w:t>备注</w:t>
            </w:r>
          </w:p>
        </w:tc>
      </w:tr>
      <w:tr w14:paraId="66201135">
        <w:tblPrEx>
          <w:tblCellMar>
            <w:top w:w="0" w:type="dxa"/>
            <w:left w:w="108" w:type="dxa"/>
            <w:bottom w:w="0" w:type="dxa"/>
            <w:right w:w="108" w:type="dxa"/>
          </w:tblCellMar>
        </w:tblPrEx>
        <w:trPr>
          <w:trHeight w:val="935" w:hRule="atLeast"/>
        </w:trPr>
        <w:tc>
          <w:tcPr>
            <w:tcW w:w="589" w:type="dxa"/>
            <w:tcBorders>
              <w:top w:val="single" w:color="000000" w:sz="4" w:space="0"/>
              <w:left w:val="single" w:color="000000" w:sz="4" w:space="0"/>
              <w:bottom w:val="single" w:color="000000" w:sz="4" w:space="0"/>
              <w:right w:val="single" w:color="000000" w:sz="4" w:space="0"/>
            </w:tcBorders>
            <w:noWrap w:val="0"/>
            <w:vAlign w:val="center"/>
          </w:tcPr>
          <w:p w14:paraId="63804024">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一</w:t>
            </w:r>
          </w:p>
        </w:tc>
        <w:tc>
          <w:tcPr>
            <w:tcW w:w="1115" w:type="dxa"/>
            <w:tcBorders>
              <w:top w:val="single" w:color="000000" w:sz="4" w:space="0"/>
              <w:left w:val="single" w:color="000000" w:sz="4" w:space="0"/>
              <w:bottom w:val="single" w:color="000000" w:sz="4" w:space="0"/>
              <w:right w:val="single" w:color="000000" w:sz="4" w:space="0"/>
            </w:tcBorders>
            <w:noWrap w:val="0"/>
            <w:vAlign w:val="center"/>
          </w:tcPr>
          <w:p w14:paraId="0BBD3FB5">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青苗</w:t>
            </w:r>
          </w:p>
        </w:tc>
        <w:tc>
          <w:tcPr>
            <w:tcW w:w="1884" w:type="dxa"/>
            <w:tcBorders>
              <w:top w:val="single" w:color="000000" w:sz="4" w:space="0"/>
              <w:left w:val="single" w:color="000000" w:sz="4" w:space="0"/>
              <w:bottom w:val="single" w:color="000000" w:sz="4" w:space="0"/>
              <w:right w:val="single" w:color="000000" w:sz="4" w:space="0"/>
            </w:tcBorders>
            <w:noWrap w:val="0"/>
            <w:vAlign w:val="center"/>
          </w:tcPr>
          <w:p w14:paraId="65A402D4">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亩</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7453C21C">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1200</w:t>
            </w:r>
          </w:p>
        </w:tc>
        <w:tc>
          <w:tcPr>
            <w:tcW w:w="2602" w:type="dxa"/>
            <w:tcBorders>
              <w:top w:val="single" w:color="000000" w:sz="4" w:space="0"/>
              <w:left w:val="single" w:color="000000" w:sz="4" w:space="0"/>
              <w:bottom w:val="single" w:color="000000" w:sz="4" w:space="0"/>
              <w:right w:val="single" w:color="000000" w:sz="4" w:space="0"/>
            </w:tcBorders>
            <w:noWrap w:val="0"/>
            <w:vAlign w:val="center"/>
          </w:tcPr>
          <w:p w14:paraId="30975C81">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含水稻、蔬菜、大豆、花生等农作物</w:t>
            </w:r>
          </w:p>
        </w:tc>
      </w:tr>
      <w:tr w14:paraId="401E3027">
        <w:tblPrEx>
          <w:tblCellMar>
            <w:top w:w="0" w:type="dxa"/>
            <w:left w:w="108" w:type="dxa"/>
            <w:bottom w:w="0" w:type="dxa"/>
            <w:right w:w="108" w:type="dxa"/>
          </w:tblCellMar>
        </w:tblPrEx>
        <w:trPr>
          <w:trHeight w:val="935" w:hRule="atLeast"/>
        </w:trPr>
        <w:tc>
          <w:tcPr>
            <w:tcW w:w="589" w:type="dxa"/>
            <w:tcBorders>
              <w:top w:val="single" w:color="000000" w:sz="4" w:space="0"/>
              <w:left w:val="single" w:color="000000" w:sz="4" w:space="0"/>
              <w:bottom w:val="single" w:color="000000" w:sz="4" w:space="0"/>
              <w:right w:val="single" w:color="000000" w:sz="4" w:space="0"/>
            </w:tcBorders>
            <w:noWrap w:val="0"/>
            <w:vAlign w:val="center"/>
          </w:tcPr>
          <w:p w14:paraId="61691EBA">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二</w:t>
            </w:r>
          </w:p>
        </w:tc>
        <w:tc>
          <w:tcPr>
            <w:tcW w:w="1115" w:type="dxa"/>
            <w:tcBorders>
              <w:top w:val="single" w:color="000000" w:sz="4" w:space="0"/>
              <w:left w:val="single" w:color="000000" w:sz="4" w:space="0"/>
              <w:bottom w:val="single" w:color="000000" w:sz="4" w:space="0"/>
              <w:right w:val="single" w:color="000000" w:sz="4" w:space="0"/>
            </w:tcBorders>
            <w:noWrap w:val="0"/>
            <w:vAlign w:val="center"/>
          </w:tcPr>
          <w:p w14:paraId="51E3C8F1">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坑塘</w:t>
            </w:r>
          </w:p>
        </w:tc>
        <w:tc>
          <w:tcPr>
            <w:tcW w:w="1884" w:type="dxa"/>
            <w:tcBorders>
              <w:top w:val="single" w:color="000000" w:sz="4" w:space="0"/>
              <w:left w:val="single" w:color="000000" w:sz="4" w:space="0"/>
              <w:bottom w:val="single" w:color="000000" w:sz="4" w:space="0"/>
              <w:right w:val="single" w:color="000000" w:sz="4" w:space="0"/>
            </w:tcBorders>
            <w:noWrap w:val="0"/>
            <w:vAlign w:val="center"/>
          </w:tcPr>
          <w:p w14:paraId="02DDE6F8">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亩</w:t>
            </w:r>
          </w:p>
        </w:tc>
        <w:tc>
          <w:tcPr>
            <w:tcW w:w="2753" w:type="dxa"/>
            <w:tcBorders>
              <w:top w:val="single" w:color="000000" w:sz="4" w:space="0"/>
              <w:left w:val="single" w:color="000000" w:sz="4" w:space="0"/>
              <w:bottom w:val="single" w:color="000000" w:sz="4" w:space="0"/>
              <w:right w:val="single" w:color="000000" w:sz="4" w:space="0"/>
            </w:tcBorders>
            <w:noWrap w:val="0"/>
            <w:vAlign w:val="center"/>
          </w:tcPr>
          <w:p w14:paraId="45E8A173">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1500</w:t>
            </w:r>
          </w:p>
        </w:tc>
        <w:tc>
          <w:tcPr>
            <w:tcW w:w="2602" w:type="dxa"/>
            <w:tcBorders>
              <w:top w:val="single" w:color="000000" w:sz="4" w:space="0"/>
              <w:left w:val="single" w:color="000000" w:sz="4" w:space="0"/>
              <w:bottom w:val="single" w:color="000000" w:sz="4" w:space="0"/>
              <w:right w:val="single" w:color="000000" w:sz="4" w:space="0"/>
            </w:tcBorders>
            <w:noWrap w:val="0"/>
            <w:vAlign w:val="center"/>
          </w:tcPr>
          <w:p w14:paraId="6841F2D0">
            <w:pPr>
              <w:widowControl/>
              <w:jc w:val="center"/>
              <w:textAlignment w:val="center"/>
              <w:rPr>
                <w:rFonts w:hint="eastAsia" w:ascii="仿宋_GB2312" w:hAnsi="仿宋_GB2312" w:eastAsia="仿宋_GB2312" w:cs="仿宋_GB2312"/>
                <w:color w:val="000000"/>
                <w:kern w:val="0"/>
                <w:sz w:val="24"/>
                <w:lang w:bidi="ar"/>
              </w:rPr>
            </w:pPr>
            <w:r>
              <w:rPr>
                <w:rFonts w:hint="eastAsia" w:ascii="仿宋_GB2312" w:hAnsi="仿宋_GB2312" w:eastAsia="仿宋_GB2312" w:cs="仿宋_GB2312"/>
                <w:color w:val="000000"/>
                <w:kern w:val="0"/>
                <w:sz w:val="24"/>
                <w:lang w:bidi="ar"/>
              </w:rPr>
              <w:t>包含砌垒砖石、塘坎等设施</w:t>
            </w:r>
          </w:p>
        </w:tc>
      </w:tr>
    </w:tbl>
    <w:p w14:paraId="32F3F57C">
      <w:pPr>
        <w:widowControl/>
        <w:spacing w:line="560" w:lineRule="exact"/>
        <w:rPr>
          <w:rFonts w:hint="eastAsia" w:ascii="黑体" w:hAnsi="黑体" w:eastAsia="黑体"/>
          <w:sz w:val="32"/>
          <w:szCs w:val="32"/>
        </w:rPr>
      </w:pPr>
    </w:p>
    <w:p w14:paraId="6AB83330">
      <w:pPr>
        <w:pStyle w:val="5"/>
        <w:rPr>
          <w:rFonts w:hint="eastAsia"/>
        </w:rPr>
      </w:pPr>
    </w:p>
    <w:p w14:paraId="276E38CA">
      <w:pPr>
        <w:pStyle w:val="5"/>
        <w:rPr>
          <w:rFonts w:hint="eastAsia"/>
        </w:rPr>
      </w:pPr>
    </w:p>
    <w:p w14:paraId="721F3E65">
      <w:pPr>
        <w:pStyle w:val="5"/>
        <w:rPr>
          <w:rFonts w:hint="eastAsia"/>
        </w:rPr>
      </w:pPr>
    </w:p>
    <w:p w14:paraId="49658C1E">
      <w:pPr>
        <w:pStyle w:val="5"/>
        <w:rPr>
          <w:rFonts w:hint="eastAsia"/>
        </w:rPr>
      </w:pPr>
    </w:p>
    <w:p w14:paraId="754733A6">
      <w:pPr>
        <w:pStyle w:val="5"/>
        <w:rPr>
          <w:rFonts w:hint="eastAsia"/>
        </w:rPr>
      </w:pPr>
    </w:p>
    <w:p w14:paraId="73B528A4">
      <w:pPr>
        <w:pStyle w:val="5"/>
        <w:rPr>
          <w:rFonts w:hint="eastAsia"/>
        </w:rPr>
      </w:pPr>
    </w:p>
    <w:p w14:paraId="1E771AA8">
      <w:pPr>
        <w:pStyle w:val="5"/>
        <w:rPr>
          <w:rFonts w:hint="eastAsia"/>
        </w:rPr>
      </w:pPr>
    </w:p>
    <w:p w14:paraId="74ADE047">
      <w:pPr>
        <w:widowControl/>
        <w:spacing w:line="560" w:lineRule="exact"/>
        <w:rPr>
          <w:rFonts w:hint="eastAsia" w:ascii="黑体" w:hAnsi="黑体" w:eastAsia="黑体"/>
          <w:sz w:val="32"/>
          <w:szCs w:val="32"/>
        </w:rPr>
      </w:pPr>
    </w:p>
    <w:p w14:paraId="5742918E">
      <w:pPr>
        <w:widowControl/>
        <w:spacing w:line="560" w:lineRule="exact"/>
        <w:rPr>
          <w:rFonts w:hint="eastAsia" w:ascii="黑体" w:hAnsi="黑体" w:eastAsia="黑体"/>
          <w:sz w:val="32"/>
          <w:szCs w:val="32"/>
        </w:rPr>
      </w:pPr>
    </w:p>
    <w:p w14:paraId="789677EA">
      <w:pPr>
        <w:widowControl/>
        <w:spacing w:line="560" w:lineRule="exact"/>
        <w:rPr>
          <w:rFonts w:hint="eastAsia" w:ascii="黑体" w:hAnsi="黑体" w:eastAsia="黑体"/>
          <w:sz w:val="32"/>
          <w:szCs w:val="32"/>
        </w:rPr>
        <w:sectPr>
          <w:pgSz w:w="11900" w:h="16838"/>
          <w:pgMar w:top="1587" w:right="1272" w:bottom="1587" w:left="1588" w:header="0" w:footer="964" w:gutter="0"/>
          <w:cols w:space="720" w:num="1"/>
          <w:docGrid w:linePitch="368" w:charSpace="0"/>
        </w:sectPr>
      </w:pPr>
    </w:p>
    <w:p w14:paraId="04AD3FB8">
      <w:pPr>
        <w:widowControl/>
        <w:spacing w:line="560" w:lineRule="exac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14:paraId="155CC81F">
      <w:pPr>
        <w:spacing w:line="560" w:lineRule="exact"/>
        <w:jc w:val="center"/>
        <w:rPr>
          <w:rFonts w:hint="eastAsia" w:ascii="方正小标宋简体" w:hAnsi="宋体" w:eastAsia="方正小标宋简体"/>
          <w:bCs/>
          <w:color w:val="000000"/>
          <w:kern w:val="0"/>
          <w:sz w:val="44"/>
          <w:szCs w:val="44"/>
          <w:lang w:bidi="ar"/>
        </w:rPr>
      </w:pPr>
      <w:r>
        <w:rPr>
          <w:rFonts w:hint="eastAsia" w:ascii="方正小标宋简体" w:hAnsi="宋体" w:eastAsia="方正小标宋简体"/>
          <w:bCs/>
          <w:color w:val="000000"/>
          <w:kern w:val="0"/>
          <w:sz w:val="44"/>
          <w:szCs w:val="44"/>
          <w:lang w:bidi="ar"/>
        </w:rPr>
        <w:t>石城县果树类补偿标准表</w:t>
      </w:r>
    </w:p>
    <w:p w14:paraId="23C04E61">
      <w:pPr>
        <w:pStyle w:val="11"/>
        <w:spacing w:line="560" w:lineRule="exact"/>
        <w:ind w:firstLine="6608" w:firstLineChars="2800"/>
        <w:rPr>
          <w:rFonts w:hint="eastAsia" w:ascii="仿宋_GB2312" w:hAnsi="仿宋_GB2312" w:eastAsia="仿宋_GB2312" w:cs="仿宋_GB2312"/>
          <w:spacing w:val="-2"/>
        </w:rPr>
      </w:pPr>
      <w:r>
        <w:rPr>
          <w:rFonts w:hint="eastAsia" w:ascii="仿宋_GB2312" w:hAnsi="仿宋_GB2312" w:eastAsia="仿宋_GB2312" w:cs="仿宋_GB2312"/>
          <w:spacing w:val="-2"/>
        </w:rPr>
        <w:t>单位：株、亩/元</w:t>
      </w:r>
    </w:p>
    <w:p w14:paraId="40E1E18C">
      <w:pPr>
        <w:spacing w:line="57" w:lineRule="exact"/>
      </w:pPr>
    </w:p>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5"/>
        <w:gridCol w:w="1251"/>
        <w:gridCol w:w="1361"/>
        <w:gridCol w:w="1111"/>
        <w:gridCol w:w="1138"/>
        <w:gridCol w:w="1111"/>
        <w:gridCol w:w="1311"/>
      </w:tblGrid>
      <w:tr w14:paraId="281D6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2906" w:type="dxa"/>
            <w:gridSpan w:val="2"/>
            <w:noWrap w:val="0"/>
            <w:vAlign w:val="top"/>
          </w:tcPr>
          <w:p w14:paraId="17EB3B0E">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rPr>
              <mc:AlternateContent>
                <mc:Choice Requires="wps">
                  <w:drawing>
                    <wp:anchor distT="0" distB="0" distL="114300" distR="114300" simplePos="0" relativeHeight="251659264" behindDoc="1" locked="0" layoutInCell="1" allowOverlap="1">
                      <wp:simplePos x="0" y="0"/>
                      <wp:positionH relativeFrom="column">
                        <wp:posOffset>17145</wp:posOffset>
                      </wp:positionH>
                      <wp:positionV relativeFrom="paragraph">
                        <wp:posOffset>26035</wp:posOffset>
                      </wp:positionV>
                      <wp:extent cx="1837690" cy="822960"/>
                      <wp:effectExtent l="635" t="1905" r="9525" b="13335"/>
                      <wp:wrapNone/>
                      <wp:docPr id="2" name="任意多边形 2"/>
                      <wp:cNvGraphicFramePr/>
                      <a:graphic xmlns:a="http://schemas.openxmlformats.org/drawingml/2006/main">
                        <a:graphicData uri="http://schemas.microsoft.com/office/word/2010/wordprocessingShape">
                          <wps:wsp>
                            <wps:cNvSpPr/>
                            <wps:spPr>
                              <a:xfrm>
                                <a:off x="0" y="0"/>
                                <a:ext cx="1960245" cy="866775"/>
                              </a:xfrm>
                              <a:custGeom>
                                <a:avLst/>
                                <a:gdLst/>
                                <a:ahLst/>
                                <a:cxnLst/>
                                <a:pathLst>
                                  <a:path w="2256" h="1269">
                                    <a:moveTo>
                                      <a:pt x="1121" y="3"/>
                                    </a:moveTo>
                                    <a:lnTo>
                                      <a:pt x="2251" y="1263"/>
                                    </a:lnTo>
                                    <a:moveTo>
                                      <a:pt x="2251" y="1263"/>
                                    </a:moveTo>
                                    <a:lnTo>
                                      <a:pt x="1" y="513"/>
                                    </a:lnTo>
                                  </a:path>
                                </a:pathLst>
                              </a:custGeom>
                              <a:noFill/>
                              <a:ln w="6350" cap="flat" cmpd="sng">
                                <a:solidFill>
                                  <a:srgbClr val="000000"/>
                                </a:solidFill>
                                <a:prstDash val="solid"/>
                                <a:miter lim="1000000"/>
                                <a:headEnd type="none" w="med" len="med"/>
                                <a:tailEnd type="none" w="med" len="med"/>
                              </a:ln>
                              <a:effectLst/>
                            </wps:spPr>
                            <wps:bodyPr upright="1"/>
                          </wps:wsp>
                        </a:graphicData>
                      </a:graphic>
                    </wp:anchor>
                  </w:drawing>
                </mc:Choice>
                <mc:Fallback>
                  <w:pict>
                    <v:shape id="_x0000_s1026" o:spid="_x0000_s1026" o:spt="100" style="position:absolute;left:0pt;margin-left:1.35pt;margin-top:2.05pt;height:64.8pt;width:144.7pt;z-index:-251657216;mso-width-relative:page;mso-height-relative:page;" filled="f" stroked="t" coordsize="2256,1269" o:gfxdata="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Jxhb/1wAAAAcBAAAPAAAAAAAAAAEAIAAAACIAAABkcnMvZG93bnJldi54bWxQSwECFAAU&#10;AAAACACHTuJAaQcgQ2QCAAAQBQAADgAAAAAAAAABACAAAAAmAQAAZHJzL2Uyb0RvYy54bWxQSwUG&#10;AAAAAAYABgBZAQAA/AUAAAAA&#10;" path="m1121,3l2251,1263m2251,1263l1,513e">
                      <v:fill on="f" focussize="0,0"/>
                      <v:stroke weight="0.5pt" color="#000000" miterlimit="10" joinstyle="miter"/>
                      <v:imagedata o:title=""/>
                      <o:lock v:ext="edit" aspectratio="f"/>
                    </v:shape>
                  </w:pict>
                </mc:Fallback>
              </mc:AlternateContent>
            </w:r>
          </w:p>
          <w:p w14:paraId="0A552C4A">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 xml:space="preserve">     补偿标准      树龄</w:t>
            </w:r>
          </w:p>
          <w:p w14:paraId="1AE892CC">
            <w:pPr>
              <w:pStyle w:val="11"/>
              <w:spacing w:before="31" w:line="237" w:lineRule="auto"/>
              <w:ind w:right="104"/>
              <w:rPr>
                <w:rFonts w:hint="eastAsia" w:ascii="仿宋_GB2312" w:hAnsi="仿宋_GB2312" w:eastAsia="仿宋_GB2312" w:cs="仿宋_GB2312"/>
                <w:lang w:eastAsia="zh-CN"/>
              </w:rPr>
            </w:pPr>
            <w:r>
              <w:rPr>
                <w:rFonts w:hint="eastAsia" w:ascii="仿宋_GB2312" w:hAnsi="仿宋_GB2312" w:eastAsia="仿宋_GB2312" w:cs="仿宋_GB2312"/>
                <w:lang w:eastAsia="zh-CN"/>
              </w:rPr>
              <w:t>树木名称</w:t>
            </w:r>
          </w:p>
        </w:tc>
        <w:tc>
          <w:tcPr>
            <w:tcW w:w="1361" w:type="dxa"/>
            <w:noWrap w:val="0"/>
            <w:vAlign w:val="center"/>
          </w:tcPr>
          <w:p w14:paraId="65E4D50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幼年树</w:t>
            </w:r>
          </w:p>
        </w:tc>
        <w:tc>
          <w:tcPr>
            <w:tcW w:w="1111" w:type="dxa"/>
            <w:noWrap w:val="0"/>
            <w:vAlign w:val="center"/>
          </w:tcPr>
          <w:p w14:paraId="512D749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青年树</w:t>
            </w:r>
          </w:p>
        </w:tc>
        <w:tc>
          <w:tcPr>
            <w:tcW w:w="1138" w:type="dxa"/>
            <w:noWrap w:val="0"/>
            <w:vAlign w:val="center"/>
          </w:tcPr>
          <w:p w14:paraId="0D9167D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盛年树</w:t>
            </w:r>
          </w:p>
        </w:tc>
        <w:tc>
          <w:tcPr>
            <w:tcW w:w="1111" w:type="dxa"/>
            <w:noWrap w:val="0"/>
            <w:vAlign w:val="center"/>
          </w:tcPr>
          <w:p w14:paraId="1A25255F">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衰年树</w:t>
            </w:r>
          </w:p>
        </w:tc>
        <w:tc>
          <w:tcPr>
            <w:tcW w:w="1311" w:type="dxa"/>
            <w:noWrap w:val="0"/>
            <w:vAlign w:val="center"/>
          </w:tcPr>
          <w:p w14:paraId="55A33AB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每亩不超</w:t>
            </w:r>
          </w:p>
          <w:p w14:paraId="073048D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过株</w:t>
            </w:r>
            <w:r>
              <w:rPr>
                <w:rFonts w:hint="eastAsia" w:ascii="仿宋_GB2312" w:hAnsi="仿宋_GB2312" w:eastAsia="仿宋_GB2312" w:cs="仿宋_GB2312"/>
                <w:lang w:eastAsia="zh-CN"/>
              </w:rPr>
              <w:t>/丛</w:t>
            </w:r>
            <w:r>
              <w:rPr>
                <w:rFonts w:hint="eastAsia" w:ascii="仿宋_GB2312" w:hAnsi="仿宋_GB2312" w:eastAsia="仿宋_GB2312" w:cs="仿宋_GB2312"/>
              </w:rPr>
              <w:t>数</w:t>
            </w:r>
          </w:p>
        </w:tc>
      </w:tr>
      <w:tr w14:paraId="37568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655" w:type="dxa"/>
            <w:vMerge w:val="restart"/>
            <w:tcBorders>
              <w:bottom w:val="nil"/>
            </w:tcBorders>
            <w:noWrap w:val="0"/>
            <w:vAlign w:val="top"/>
          </w:tcPr>
          <w:p w14:paraId="7FA5EDA0">
            <w:pPr>
              <w:pStyle w:val="11"/>
              <w:spacing w:before="31" w:line="237" w:lineRule="auto"/>
              <w:ind w:right="104"/>
              <w:jc w:val="center"/>
              <w:rPr>
                <w:rFonts w:hint="eastAsia" w:ascii="仿宋_GB2312" w:hAnsi="仿宋_GB2312" w:eastAsia="仿宋_GB2312" w:cs="仿宋_GB2312"/>
              </w:rPr>
            </w:pPr>
          </w:p>
          <w:p w14:paraId="3C6ABB60">
            <w:pPr>
              <w:pStyle w:val="11"/>
              <w:spacing w:before="31" w:line="237" w:lineRule="auto"/>
              <w:ind w:right="104"/>
              <w:jc w:val="center"/>
              <w:rPr>
                <w:rFonts w:hint="eastAsia" w:ascii="仿宋_GB2312" w:hAnsi="仿宋_GB2312" w:eastAsia="仿宋_GB2312" w:cs="仿宋_GB2312"/>
              </w:rPr>
            </w:pPr>
          </w:p>
          <w:p w14:paraId="24A91E7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常绿果树</w:t>
            </w:r>
          </w:p>
        </w:tc>
        <w:tc>
          <w:tcPr>
            <w:tcW w:w="1251" w:type="dxa"/>
            <w:noWrap w:val="0"/>
            <w:vAlign w:val="top"/>
          </w:tcPr>
          <w:p w14:paraId="5168FF5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脐橙</w:t>
            </w:r>
          </w:p>
        </w:tc>
        <w:tc>
          <w:tcPr>
            <w:tcW w:w="1361" w:type="dxa"/>
            <w:noWrap w:val="0"/>
            <w:vAlign w:val="top"/>
          </w:tcPr>
          <w:p w14:paraId="220B624E">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45</w:t>
            </w:r>
          </w:p>
        </w:tc>
        <w:tc>
          <w:tcPr>
            <w:tcW w:w="1111" w:type="dxa"/>
            <w:noWrap w:val="0"/>
            <w:vAlign w:val="top"/>
          </w:tcPr>
          <w:p w14:paraId="3E7AB5A5">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90</w:t>
            </w:r>
          </w:p>
        </w:tc>
        <w:tc>
          <w:tcPr>
            <w:tcW w:w="1138" w:type="dxa"/>
            <w:noWrap w:val="0"/>
            <w:vAlign w:val="top"/>
          </w:tcPr>
          <w:p w14:paraId="78E18468">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150</w:t>
            </w:r>
          </w:p>
        </w:tc>
        <w:tc>
          <w:tcPr>
            <w:tcW w:w="1111" w:type="dxa"/>
            <w:noWrap w:val="0"/>
            <w:vAlign w:val="top"/>
          </w:tcPr>
          <w:p w14:paraId="23FE8EE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50</w:t>
            </w:r>
          </w:p>
        </w:tc>
        <w:tc>
          <w:tcPr>
            <w:tcW w:w="1311" w:type="dxa"/>
            <w:noWrap w:val="0"/>
            <w:vAlign w:val="top"/>
          </w:tcPr>
          <w:p w14:paraId="2C38DEC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r>
              <w:rPr>
                <w:rFonts w:hint="eastAsia" w:ascii="仿宋_GB2312" w:hAnsi="仿宋_GB2312" w:eastAsia="仿宋_GB2312" w:cs="仿宋_GB2312"/>
              </w:rPr>
              <w:t>0</w:t>
            </w:r>
          </w:p>
        </w:tc>
      </w:tr>
      <w:tr w14:paraId="0910F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655" w:type="dxa"/>
            <w:vMerge w:val="continue"/>
            <w:tcBorders>
              <w:top w:val="nil"/>
              <w:bottom w:val="nil"/>
            </w:tcBorders>
            <w:noWrap w:val="0"/>
            <w:vAlign w:val="top"/>
          </w:tcPr>
          <w:p w14:paraId="49B6F32C">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4FD0F02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柚</w:t>
            </w:r>
          </w:p>
        </w:tc>
        <w:tc>
          <w:tcPr>
            <w:tcW w:w="1361" w:type="dxa"/>
            <w:noWrap w:val="0"/>
            <w:vAlign w:val="top"/>
          </w:tcPr>
          <w:p w14:paraId="23A1204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45</w:t>
            </w:r>
          </w:p>
        </w:tc>
        <w:tc>
          <w:tcPr>
            <w:tcW w:w="1111" w:type="dxa"/>
            <w:noWrap w:val="0"/>
            <w:vAlign w:val="top"/>
          </w:tcPr>
          <w:p w14:paraId="7B4398DF">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90</w:t>
            </w:r>
          </w:p>
        </w:tc>
        <w:tc>
          <w:tcPr>
            <w:tcW w:w="1138" w:type="dxa"/>
            <w:noWrap w:val="0"/>
            <w:vAlign w:val="top"/>
          </w:tcPr>
          <w:p w14:paraId="748F55F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150</w:t>
            </w:r>
          </w:p>
        </w:tc>
        <w:tc>
          <w:tcPr>
            <w:tcW w:w="1111" w:type="dxa"/>
            <w:noWrap w:val="0"/>
            <w:vAlign w:val="top"/>
          </w:tcPr>
          <w:p w14:paraId="15F485F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50</w:t>
            </w:r>
          </w:p>
        </w:tc>
        <w:tc>
          <w:tcPr>
            <w:tcW w:w="1311" w:type="dxa"/>
            <w:noWrap w:val="0"/>
            <w:vAlign w:val="top"/>
          </w:tcPr>
          <w:p w14:paraId="1F33606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r>
              <w:rPr>
                <w:rFonts w:hint="eastAsia" w:ascii="仿宋_GB2312" w:hAnsi="仿宋_GB2312" w:eastAsia="仿宋_GB2312" w:cs="仿宋_GB2312"/>
              </w:rPr>
              <w:t>0</w:t>
            </w:r>
          </w:p>
        </w:tc>
      </w:tr>
      <w:tr w14:paraId="7994AC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655" w:type="dxa"/>
            <w:vMerge w:val="continue"/>
            <w:tcBorders>
              <w:top w:val="nil"/>
              <w:bottom w:val="nil"/>
            </w:tcBorders>
            <w:noWrap w:val="0"/>
            <w:vAlign w:val="top"/>
          </w:tcPr>
          <w:p w14:paraId="4925878A">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3AB9816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温柑</w:t>
            </w:r>
          </w:p>
        </w:tc>
        <w:tc>
          <w:tcPr>
            <w:tcW w:w="1361" w:type="dxa"/>
            <w:noWrap w:val="0"/>
            <w:vAlign w:val="top"/>
          </w:tcPr>
          <w:p w14:paraId="50E7CCF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111" w:type="dxa"/>
            <w:noWrap w:val="0"/>
            <w:vAlign w:val="top"/>
          </w:tcPr>
          <w:p w14:paraId="669BB41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6691C67D">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120</w:t>
            </w:r>
          </w:p>
        </w:tc>
        <w:tc>
          <w:tcPr>
            <w:tcW w:w="1111" w:type="dxa"/>
            <w:noWrap w:val="0"/>
            <w:vAlign w:val="top"/>
          </w:tcPr>
          <w:p w14:paraId="403787A4">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40</w:t>
            </w:r>
          </w:p>
        </w:tc>
        <w:tc>
          <w:tcPr>
            <w:tcW w:w="1311" w:type="dxa"/>
            <w:noWrap w:val="0"/>
            <w:vAlign w:val="top"/>
          </w:tcPr>
          <w:p w14:paraId="25B1588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r>
              <w:rPr>
                <w:rFonts w:hint="eastAsia" w:ascii="仿宋_GB2312" w:hAnsi="仿宋_GB2312" w:eastAsia="仿宋_GB2312" w:cs="仿宋_GB2312"/>
              </w:rPr>
              <w:t>0</w:t>
            </w:r>
          </w:p>
        </w:tc>
      </w:tr>
      <w:tr w14:paraId="31D60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1655" w:type="dxa"/>
            <w:vMerge w:val="continue"/>
            <w:tcBorders>
              <w:top w:val="nil"/>
            </w:tcBorders>
            <w:noWrap w:val="0"/>
            <w:vAlign w:val="top"/>
          </w:tcPr>
          <w:p w14:paraId="7B598EF8">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1B3321D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金桔</w:t>
            </w:r>
          </w:p>
        </w:tc>
        <w:tc>
          <w:tcPr>
            <w:tcW w:w="1361" w:type="dxa"/>
            <w:noWrap w:val="0"/>
            <w:vAlign w:val="top"/>
          </w:tcPr>
          <w:p w14:paraId="54ACA3B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15</w:t>
            </w:r>
          </w:p>
        </w:tc>
        <w:tc>
          <w:tcPr>
            <w:tcW w:w="1111" w:type="dxa"/>
            <w:noWrap w:val="0"/>
            <w:vAlign w:val="top"/>
          </w:tcPr>
          <w:p w14:paraId="5C875C8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52</w:t>
            </w:r>
          </w:p>
        </w:tc>
        <w:tc>
          <w:tcPr>
            <w:tcW w:w="1138" w:type="dxa"/>
            <w:noWrap w:val="0"/>
            <w:vAlign w:val="top"/>
          </w:tcPr>
          <w:p w14:paraId="6493E569">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105</w:t>
            </w:r>
          </w:p>
        </w:tc>
        <w:tc>
          <w:tcPr>
            <w:tcW w:w="1111" w:type="dxa"/>
            <w:noWrap w:val="0"/>
            <w:vAlign w:val="top"/>
          </w:tcPr>
          <w:p w14:paraId="02CD860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311" w:type="dxa"/>
            <w:noWrap w:val="0"/>
            <w:vAlign w:val="top"/>
          </w:tcPr>
          <w:p w14:paraId="766A227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r>
              <w:rPr>
                <w:rFonts w:hint="eastAsia" w:ascii="仿宋_GB2312" w:hAnsi="仿宋_GB2312" w:eastAsia="仿宋_GB2312" w:cs="仿宋_GB2312"/>
              </w:rPr>
              <w:t>0</w:t>
            </w:r>
          </w:p>
        </w:tc>
      </w:tr>
      <w:tr w14:paraId="3373E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655" w:type="dxa"/>
            <w:vMerge w:val="restart"/>
            <w:tcBorders>
              <w:bottom w:val="nil"/>
            </w:tcBorders>
            <w:noWrap w:val="0"/>
            <w:vAlign w:val="top"/>
          </w:tcPr>
          <w:p w14:paraId="2F358A0A">
            <w:pPr>
              <w:pStyle w:val="11"/>
              <w:spacing w:before="31" w:line="237" w:lineRule="auto"/>
              <w:ind w:right="104"/>
              <w:jc w:val="center"/>
              <w:rPr>
                <w:rFonts w:hint="eastAsia" w:ascii="仿宋_GB2312" w:hAnsi="仿宋_GB2312" w:eastAsia="仿宋_GB2312" w:cs="仿宋_GB2312"/>
              </w:rPr>
            </w:pPr>
          </w:p>
          <w:p w14:paraId="1636CFE6">
            <w:pPr>
              <w:pStyle w:val="11"/>
              <w:spacing w:before="31" w:line="237" w:lineRule="auto"/>
              <w:ind w:right="104"/>
              <w:jc w:val="center"/>
              <w:rPr>
                <w:rFonts w:hint="eastAsia" w:ascii="仿宋_GB2312" w:hAnsi="仿宋_GB2312" w:eastAsia="仿宋_GB2312" w:cs="仿宋_GB2312"/>
              </w:rPr>
            </w:pPr>
          </w:p>
          <w:p w14:paraId="193B8D59">
            <w:pPr>
              <w:pStyle w:val="11"/>
              <w:spacing w:before="31" w:line="237" w:lineRule="auto"/>
              <w:ind w:right="104"/>
              <w:jc w:val="center"/>
              <w:rPr>
                <w:rFonts w:hint="eastAsia" w:ascii="仿宋_GB2312" w:hAnsi="仿宋_GB2312" w:eastAsia="仿宋_GB2312" w:cs="仿宋_GB2312"/>
              </w:rPr>
            </w:pPr>
          </w:p>
          <w:p w14:paraId="59E2E689">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落叶果树</w:t>
            </w:r>
          </w:p>
        </w:tc>
        <w:tc>
          <w:tcPr>
            <w:tcW w:w="1251" w:type="dxa"/>
            <w:noWrap w:val="0"/>
            <w:vAlign w:val="top"/>
          </w:tcPr>
          <w:p w14:paraId="4B49258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枣</w:t>
            </w:r>
          </w:p>
        </w:tc>
        <w:tc>
          <w:tcPr>
            <w:tcW w:w="1361" w:type="dxa"/>
            <w:noWrap w:val="0"/>
            <w:vAlign w:val="top"/>
          </w:tcPr>
          <w:p w14:paraId="4433B4B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8</w:t>
            </w:r>
          </w:p>
        </w:tc>
        <w:tc>
          <w:tcPr>
            <w:tcW w:w="1111" w:type="dxa"/>
            <w:noWrap w:val="0"/>
            <w:vAlign w:val="top"/>
          </w:tcPr>
          <w:p w14:paraId="4298BC6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138" w:type="dxa"/>
            <w:noWrap w:val="0"/>
            <w:vAlign w:val="top"/>
          </w:tcPr>
          <w:p w14:paraId="456144EE">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75</w:t>
            </w:r>
          </w:p>
        </w:tc>
        <w:tc>
          <w:tcPr>
            <w:tcW w:w="1111" w:type="dxa"/>
            <w:noWrap w:val="0"/>
            <w:vAlign w:val="top"/>
          </w:tcPr>
          <w:p w14:paraId="7EB0509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311" w:type="dxa"/>
            <w:noWrap w:val="0"/>
            <w:vAlign w:val="top"/>
          </w:tcPr>
          <w:p w14:paraId="795B5CE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r>
      <w:tr w14:paraId="4210D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1655" w:type="dxa"/>
            <w:vMerge w:val="continue"/>
            <w:tcBorders>
              <w:top w:val="nil"/>
              <w:bottom w:val="nil"/>
            </w:tcBorders>
            <w:noWrap w:val="0"/>
            <w:vAlign w:val="top"/>
          </w:tcPr>
          <w:p w14:paraId="10772A01">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4EB49A8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桃</w:t>
            </w:r>
          </w:p>
        </w:tc>
        <w:tc>
          <w:tcPr>
            <w:tcW w:w="1361" w:type="dxa"/>
            <w:noWrap w:val="0"/>
            <w:vAlign w:val="top"/>
          </w:tcPr>
          <w:p w14:paraId="105E6C0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4D65ED4A">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41278A69">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90</w:t>
            </w:r>
          </w:p>
        </w:tc>
        <w:tc>
          <w:tcPr>
            <w:tcW w:w="1111" w:type="dxa"/>
            <w:noWrap w:val="0"/>
            <w:vAlign w:val="top"/>
          </w:tcPr>
          <w:p w14:paraId="285A16D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311" w:type="dxa"/>
            <w:noWrap w:val="0"/>
            <w:vAlign w:val="top"/>
          </w:tcPr>
          <w:p w14:paraId="30187CF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r>
      <w:tr w14:paraId="634F03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655" w:type="dxa"/>
            <w:vMerge w:val="continue"/>
            <w:tcBorders>
              <w:top w:val="nil"/>
              <w:bottom w:val="nil"/>
            </w:tcBorders>
            <w:noWrap w:val="0"/>
            <w:vAlign w:val="top"/>
          </w:tcPr>
          <w:p w14:paraId="2007A889">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19987D8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李</w:t>
            </w:r>
          </w:p>
        </w:tc>
        <w:tc>
          <w:tcPr>
            <w:tcW w:w="1361" w:type="dxa"/>
            <w:noWrap w:val="0"/>
            <w:vAlign w:val="top"/>
          </w:tcPr>
          <w:p w14:paraId="6ADDEBC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3E35D10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37A369A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90</w:t>
            </w:r>
          </w:p>
        </w:tc>
        <w:tc>
          <w:tcPr>
            <w:tcW w:w="1111" w:type="dxa"/>
            <w:noWrap w:val="0"/>
            <w:vAlign w:val="top"/>
          </w:tcPr>
          <w:p w14:paraId="14062017">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311" w:type="dxa"/>
            <w:noWrap w:val="0"/>
            <w:vAlign w:val="top"/>
          </w:tcPr>
          <w:p w14:paraId="21E9617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r>
      <w:tr w14:paraId="7666EC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1655" w:type="dxa"/>
            <w:vMerge w:val="continue"/>
            <w:tcBorders>
              <w:top w:val="nil"/>
              <w:bottom w:val="nil"/>
            </w:tcBorders>
            <w:noWrap w:val="0"/>
            <w:vAlign w:val="top"/>
          </w:tcPr>
          <w:p w14:paraId="25A91C5E">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5742DD5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柿</w:t>
            </w:r>
          </w:p>
        </w:tc>
        <w:tc>
          <w:tcPr>
            <w:tcW w:w="1361" w:type="dxa"/>
            <w:noWrap w:val="0"/>
            <w:vAlign w:val="top"/>
          </w:tcPr>
          <w:p w14:paraId="16E9C09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7F423EF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451843E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120</w:t>
            </w:r>
          </w:p>
        </w:tc>
        <w:tc>
          <w:tcPr>
            <w:tcW w:w="1111" w:type="dxa"/>
            <w:noWrap w:val="0"/>
            <w:vAlign w:val="top"/>
          </w:tcPr>
          <w:p w14:paraId="022411C7">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311" w:type="dxa"/>
            <w:noWrap w:val="0"/>
            <w:vAlign w:val="top"/>
          </w:tcPr>
          <w:p w14:paraId="5DE738C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w:t>
            </w:r>
            <w:r>
              <w:rPr>
                <w:rFonts w:hint="eastAsia" w:ascii="仿宋_GB2312" w:hAnsi="仿宋_GB2312" w:eastAsia="仿宋_GB2312" w:cs="仿宋_GB2312"/>
              </w:rPr>
              <w:t>0</w:t>
            </w:r>
          </w:p>
        </w:tc>
      </w:tr>
      <w:tr w14:paraId="7001A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655" w:type="dxa"/>
            <w:vMerge w:val="continue"/>
            <w:tcBorders>
              <w:top w:val="nil"/>
              <w:bottom w:val="nil"/>
            </w:tcBorders>
            <w:noWrap w:val="0"/>
            <w:vAlign w:val="top"/>
          </w:tcPr>
          <w:p w14:paraId="1AE35A39">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5AE6DE5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梨</w:t>
            </w:r>
          </w:p>
        </w:tc>
        <w:tc>
          <w:tcPr>
            <w:tcW w:w="1361" w:type="dxa"/>
            <w:noWrap w:val="0"/>
            <w:vAlign w:val="top"/>
          </w:tcPr>
          <w:p w14:paraId="6350E44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3C3490F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7E25C75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105</w:t>
            </w:r>
          </w:p>
        </w:tc>
        <w:tc>
          <w:tcPr>
            <w:tcW w:w="1111" w:type="dxa"/>
            <w:noWrap w:val="0"/>
            <w:vAlign w:val="top"/>
          </w:tcPr>
          <w:p w14:paraId="63CA19B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311" w:type="dxa"/>
            <w:noWrap w:val="0"/>
            <w:vAlign w:val="top"/>
          </w:tcPr>
          <w:p w14:paraId="6AD7311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r>
      <w:tr w14:paraId="46A6F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1655" w:type="dxa"/>
            <w:vMerge w:val="continue"/>
            <w:tcBorders>
              <w:top w:val="nil"/>
            </w:tcBorders>
            <w:noWrap w:val="0"/>
            <w:vAlign w:val="top"/>
          </w:tcPr>
          <w:p w14:paraId="5FB31D4A">
            <w:pPr>
              <w:pStyle w:val="11"/>
              <w:spacing w:before="31" w:line="237" w:lineRule="auto"/>
              <w:ind w:right="104"/>
              <w:jc w:val="center"/>
              <w:rPr>
                <w:rFonts w:hint="eastAsia" w:ascii="仿宋_GB2312" w:hAnsi="仿宋_GB2312" w:eastAsia="仿宋_GB2312" w:cs="仿宋_GB2312"/>
              </w:rPr>
            </w:pPr>
          </w:p>
        </w:tc>
        <w:tc>
          <w:tcPr>
            <w:tcW w:w="1251" w:type="dxa"/>
            <w:noWrap w:val="0"/>
            <w:vAlign w:val="top"/>
          </w:tcPr>
          <w:p w14:paraId="3FF95BF7">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板栗</w:t>
            </w:r>
          </w:p>
        </w:tc>
        <w:tc>
          <w:tcPr>
            <w:tcW w:w="1361" w:type="dxa"/>
            <w:noWrap w:val="0"/>
            <w:vAlign w:val="top"/>
          </w:tcPr>
          <w:p w14:paraId="1E9DB1D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2AFA9BF5">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60</w:t>
            </w:r>
          </w:p>
        </w:tc>
        <w:tc>
          <w:tcPr>
            <w:tcW w:w="1138" w:type="dxa"/>
            <w:noWrap w:val="0"/>
            <w:vAlign w:val="top"/>
          </w:tcPr>
          <w:p w14:paraId="1FC53375">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120</w:t>
            </w:r>
          </w:p>
        </w:tc>
        <w:tc>
          <w:tcPr>
            <w:tcW w:w="1111" w:type="dxa"/>
            <w:noWrap w:val="0"/>
            <w:vAlign w:val="top"/>
          </w:tcPr>
          <w:p w14:paraId="5B657AF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311" w:type="dxa"/>
            <w:noWrap w:val="0"/>
            <w:vAlign w:val="top"/>
          </w:tcPr>
          <w:p w14:paraId="599B4ED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w:t>
            </w:r>
            <w:r>
              <w:rPr>
                <w:rFonts w:hint="eastAsia" w:ascii="仿宋_GB2312" w:hAnsi="仿宋_GB2312" w:eastAsia="仿宋_GB2312" w:cs="仿宋_GB2312"/>
              </w:rPr>
              <w:t>0</w:t>
            </w:r>
          </w:p>
        </w:tc>
      </w:tr>
      <w:tr w14:paraId="5CA11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2906" w:type="dxa"/>
            <w:gridSpan w:val="2"/>
            <w:noWrap w:val="0"/>
            <w:vAlign w:val="top"/>
          </w:tcPr>
          <w:p w14:paraId="55E904EC">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葡萄</w:t>
            </w:r>
          </w:p>
        </w:tc>
        <w:tc>
          <w:tcPr>
            <w:tcW w:w="1361" w:type="dxa"/>
            <w:noWrap w:val="0"/>
            <w:vAlign w:val="top"/>
          </w:tcPr>
          <w:p w14:paraId="634367CA">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06D4861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138" w:type="dxa"/>
            <w:noWrap w:val="0"/>
            <w:vAlign w:val="top"/>
          </w:tcPr>
          <w:p w14:paraId="72810B1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80</w:t>
            </w:r>
          </w:p>
        </w:tc>
        <w:tc>
          <w:tcPr>
            <w:tcW w:w="1111" w:type="dxa"/>
            <w:noWrap w:val="0"/>
            <w:vAlign w:val="top"/>
          </w:tcPr>
          <w:p w14:paraId="0B58440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w:t>
            </w:r>
          </w:p>
        </w:tc>
        <w:tc>
          <w:tcPr>
            <w:tcW w:w="1311" w:type="dxa"/>
            <w:noWrap w:val="0"/>
            <w:vAlign w:val="top"/>
          </w:tcPr>
          <w:p w14:paraId="45BB5174">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300</w:t>
            </w:r>
          </w:p>
        </w:tc>
      </w:tr>
      <w:tr w14:paraId="24C3F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2906" w:type="dxa"/>
            <w:gridSpan w:val="2"/>
            <w:noWrap w:val="0"/>
            <w:vAlign w:val="top"/>
          </w:tcPr>
          <w:p w14:paraId="517307A9">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茶叶</w:t>
            </w:r>
          </w:p>
        </w:tc>
        <w:tc>
          <w:tcPr>
            <w:tcW w:w="1361" w:type="dxa"/>
            <w:noWrap w:val="0"/>
            <w:vAlign w:val="top"/>
          </w:tcPr>
          <w:p w14:paraId="2D157DD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w:t>
            </w:r>
          </w:p>
        </w:tc>
        <w:tc>
          <w:tcPr>
            <w:tcW w:w="1111" w:type="dxa"/>
            <w:noWrap w:val="0"/>
            <w:vAlign w:val="top"/>
          </w:tcPr>
          <w:p w14:paraId="12A2C15B">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w:t>
            </w:r>
          </w:p>
        </w:tc>
        <w:tc>
          <w:tcPr>
            <w:tcW w:w="1138" w:type="dxa"/>
            <w:noWrap w:val="0"/>
            <w:vAlign w:val="top"/>
          </w:tcPr>
          <w:p w14:paraId="538A2B2A">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20</w:t>
            </w:r>
          </w:p>
        </w:tc>
        <w:tc>
          <w:tcPr>
            <w:tcW w:w="1111" w:type="dxa"/>
            <w:noWrap w:val="0"/>
            <w:vAlign w:val="top"/>
          </w:tcPr>
          <w:p w14:paraId="6DC69B17">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w:t>
            </w:r>
          </w:p>
        </w:tc>
        <w:tc>
          <w:tcPr>
            <w:tcW w:w="1311" w:type="dxa"/>
            <w:noWrap w:val="0"/>
            <w:vAlign w:val="top"/>
          </w:tcPr>
          <w:p w14:paraId="18DBB052">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2300</w:t>
            </w:r>
          </w:p>
        </w:tc>
      </w:tr>
      <w:tr w14:paraId="5327A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906" w:type="dxa"/>
            <w:gridSpan w:val="2"/>
            <w:noWrap w:val="0"/>
            <w:vAlign w:val="top"/>
          </w:tcPr>
          <w:p w14:paraId="727ACA17">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油茶</w:t>
            </w:r>
          </w:p>
        </w:tc>
        <w:tc>
          <w:tcPr>
            <w:tcW w:w="1361" w:type="dxa"/>
            <w:noWrap w:val="0"/>
            <w:vAlign w:val="top"/>
          </w:tcPr>
          <w:p w14:paraId="37194A50">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25</w:t>
            </w:r>
          </w:p>
        </w:tc>
        <w:tc>
          <w:tcPr>
            <w:tcW w:w="1111" w:type="dxa"/>
            <w:noWrap w:val="0"/>
            <w:vAlign w:val="top"/>
          </w:tcPr>
          <w:p w14:paraId="22B8732F">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138" w:type="dxa"/>
            <w:noWrap w:val="0"/>
            <w:vAlign w:val="top"/>
          </w:tcPr>
          <w:p w14:paraId="47F933C8">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80</w:t>
            </w:r>
          </w:p>
        </w:tc>
        <w:tc>
          <w:tcPr>
            <w:tcW w:w="1111" w:type="dxa"/>
            <w:noWrap w:val="0"/>
            <w:vAlign w:val="top"/>
          </w:tcPr>
          <w:p w14:paraId="38A2EAEE">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40</w:t>
            </w:r>
          </w:p>
        </w:tc>
        <w:tc>
          <w:tcPr>
            <w:tcW w:w="1311" w:type="dxa"/>
            <w:noWrap w:val="0"/>
            <w:vAlign w:val="top"/>
          </w:tcPr>
          <w:p w14:paraId="52F3D8E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100</w:t>
            </w:r>
          </w:p>
        </w:tc>
      </w:tr>
      <w:tr w14:paraId="6387D8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655" w:type="dxa"/>
            <w:vMerge w:val="restart"/>
            <w:noWrap w:val="0"/>
            <w:vAlign w:val="center"/>
          </w:tcPr>
          <w:p w14:paraId="1DC450CE">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苗   圃</w:t>
            </w:r>
          </w:p>
        </w:tc>
        <w:tc>
          <w:tcPr>
            <w:tcW w:w="1251" w:type="dxa"/>
            <w:vMerge w:val="restart"/>
            <w:noWrap w:val="0"/>
            <w:vAlign w:val="center"/>
          </w:tcPr>
          <w:p w14:paraId="3EC82AB3">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落叶苗</w:t>
            </w:r>
          </w:p>
        </w:tc>
        <w:tc>
          <w:tcPr>
            <w:tcW w:w="2472" w:type="dxa"/>
            <w:gridSpan w:val="2"/>
            <w:noWrap w:val="0"/>
            <w:vAlign w:val="top"/>
          </w:tcPr>
          <w:p w14:paraId="691C833D">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3年生以下（含3年）</w:t>
            </w:r>
          </w:p>
        </w:tc>
        <w:tc>
          <w:tcPr>
            <w:tcW w:w="3560" w:type="dxa"/>
            <w:gridSpan w:val="3"/>
            <w:noWrap w:val="0"/>
            <w:vAlign w:val="top"/>
          </w:tcPr>
          <w:p w14:paraId="0CBCA85A">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16700/亩</w:t>
            </w:r>
          </w:p>
        </w:tc>
      </w:tr>
      <w:tr w14:paraId="7B620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55" w:type="dxa"/>
            <w:vMerge w:val="continue"/>
            <w:noWrap w:val="0"/>
            <w:vAlign w:val="top"/>
          </w:tcPr>
          <w:p w14:paraId="40B7E7C0">
            <w:pPr>
              <w:pStyle w:val="11"/>
              <w:spacing w:before="31" w:line="237" w:lineRule="auto"/>
              <w:ind w:right="104"/>
              <w:jc w:val="center"/>
              <w:rPr>
                <w:rFonts w:hint="eastAsia" w:ascii="仿宋_GB2312" w:hAnsi="仿宋_GB2312" w:eastAsia="仿宋_GB2312" w:cs="仿宋_GB2312"/>
              </w:rPr>
            </w:pPr>
          </w:p>
        </w:tc>
        <w:tc>
          <w:tcPr>
            <w:tcW w:w="1251" w:type="dxa"/>
            <w:vMerge w:val="continue"/>
            <w:noWrap w:val="0"/>
            <w:vAlign w:val="center"/>
          </w:tcPr>
          <w:p w14:paraId="7CCBE0CF">
            <w:pPr>
              <w:pStyle w:val="11"/>
              <w:spacing w:before="31" w:line="237" w:lineRule="auto"/>
              <w:ind w:right="104"/>
              <w:jc w:val="center"/>
              <w:rPr>
                <w:rFonts w:hint="eastAsia" w:ascii="仿宋_GB2312" w:hAnsi="仿宋_GB2312" w:eastAsia="仿宋_GB2312" w:cs="仿宋_GB2312"/>
              </w:rPr>
            </w:pPr>
          </w:p>
        </w:tc>
        <w:tc>
          <w:tcPr>
            <w:tcW w:w="2472" w:type="dxa"/>
            <w:gridSpan w:val="2"/>
            <w:noWrap w:val="0"/>
            <w:vAlign w:val="top"/>
          </w:tcPr>
          <w:p w14:paraId="79055923">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3-5年生（含5年）</w:t>
            </w:r>
          </w:p>
        </w:tc>
        <w:tc>
          <w:tcPr>
            <w:tcW w:w="3560" w:type="dxa"/>
            <w:gridSpan w:val="3"/>
            <w:noWrap w:val="0"/>
            <w:vAlign w:val="top"/>
          </w:tcPr>
          <w:p w14:paraId="668A5945">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19800/亩</w:t>
            </w:r>
          </w:p>
        </w:tc>
      </w:tr>
      <w:tr w14:paraId="25CCD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55" w:type="dxa"/>
            <w:vMerge w:val="continue"/>
            <w:noWrap w:val="0"/>
            <w:vAlign w:val="top"/>
          </w:tcPr>
          <w:p w14:paraId="778279A3">
            <w:pPr>
              <w:pStyle w:val="11"/>
              <w:spacing w:before="31" w:line="237" w:lineRule="auto"/>
              <w:ind w:right="104"/>
              <w:jc w:val="center"/>
              <w:rPr>
                <w:rFonts w:hint="eastAsia" w:ascii="仿宋_GB2312" w:hAnsi="仿宋_GB2312" w:eastAsia="仿宋_GB2312" w:cs="仿宋_GB2312"/>
              </w:rPr>
            </w:pPr>
          </w:p>
        </w:tc>
        <w:tc>
          <w:tcPr>
            <w:tcW w:w="1251" w:type="dxa"/>
            <w:vMerge w:val="continue"/>
            <w:tcBorders>
              <w:bottom w:val="single" w:color="000000" w:sz="4" w:space="0"/>
            </w:tcBorders>
            <w:noWrap w:val="0"/>
            <w:vAlign w:val="center"/>
          </w:tcPr>
          <w:p w14:paraId="0CEFFD14">
            <w:pPr>
              <w:pStyle w:val="11"/>
              <w:spacing w:before="31" w:line="237" w:lineRule="auto"/>
              <w:ind w:right="104"/>
              <w:jc w:val="center"/>
              <w:rPr>
                <w:rFonts w:hint="eastAsia" w:ascii="仿宋_GB2312" w:hAnsi="仿宋_GB2312" w:eastAsia="仿宋_GB2312" w:cs="仿宋_GB2312"/>
              </w:rPr>
            </w:pPr>
          </w:p>
        </w:tc>
        <w:tc>
          <w:tcPr>
            <w:tcW w:w="2472" w:type="dxa"/>
            <w:gridSpan w:val="2"/>
            <w:noWrap w:val="0"/>
            <w:vAlign w:val="top"/>
          </w:tcPr>
          <w:p w14:paraId="62D67917">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5年生以上</w:t>
            </w:r>
          </w:p>
        </w:tc>
        <w:tc>
          <w:tcPr>
            <w:tcW w:w="3560" w:type="dxa"/>
            <w:gridSpan w:val="3"/>
            <w:noWrap w:val="0"/>
            <w:vAlign w:val="top"/>
          </w:tcPr>
          <w:p w14:paraId="45A8592D">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20000/亩</w:t>
            </w:r>
          </w:p>
        </w:tc>
      </w:tr>
      <w:tr w14:paraId="36DCD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55" w:type="dxa"/>
            <w:vMerge w:val="continue"/>
            <w:noWrap w:val="0"/>
            <w:vAlign w:val="top"/>
          </w:tcPr>
          <w:p w14:paraId="7534BCC5">
            <w:pPr>
              <w:pStyle w:val="11"/>
              <w:spacing w:before="31" w:line="237" w:lineRule="auto"/>
              <w:ind w:right="104"/>
              <w:jc w:val="center"/>
              <w:rPr>
                <w:rFonts w:hint="eastAsia" w:ascii="仿宋_GB2312" w:hAnsi="仿宋_GB2312" w:eastAsia="仿宋_GB2312" w:cs="仿宋_GB2312"/>
              </w:rPr>
            </w:pPr>
          </w:p>
        </w:tc>
        <w:tc>
          <w:tcPr>
            <w:tcW w:w="1251" w:type="dxa"/>
            <w:vMerge w:val="restart"/>
            <w:tcBorders>
              <w:top w:val="single" w:color="000000" w:sz="4" w:space="0"/>
            </w:tcBorders>
            <w:noWrap w:val="0"/>
            <w:vAlign w:val="center"/>
          </w:tcPr>
          <w:p w14:paraId="2CF94BDF">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rPr>
              <w:t>常绿苗</w:t>
            </w:r>
            <w:r>
              <w:rPr>
                <w:rFonts w:hint="eastAsia" w:ascii="仿宋_GB2312" w:hAnsi="仿宋_GB2312" w:eastAsia="仿宋_GB2312" w:cs="仿宋_GB2312"/>
                <w:lang w:eastAsia="zh-CN"/>
              </w:rPr>
              <w:t>（柑橘类除外）</w:t>
            </w:r>
          </w:p>
        </w:tc>
        <w:tc>
          <w:tcPr>
            <w:tcW w:w="2472" w:type="dxa"/>
            <w:gridSpan w:val="2"/>
            <w:noWrap w:val="0"/>
            <w:vAlign w:val="top"/>
          </w:tcPr>
          <w:p w14:paraId="0733D151">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3年生以下（含3年）</w:t>
            </w:r>
          </w:p>
        </w:tc>
        <w:tc>
          <w:tcPr>
            <w:tcW w:w="3560" w:type="dxa"/>
            <w:gridSpan w:val="3"/>
            <w:noWrap w:val="0"/>
            <w:vAlign w:val="top"/>
          </w:tcPr>
          <w:p w14:paraId="33B86FEF">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25000/亩</w:t>
            </w:r>
          </w:p>
        </w:tc>
      </w:tr>
      <w:tr w14:paraId="5610C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655" w:type="dxa"/>
            <w:vMerge w:val="continue"/>
            <w:noWrap w:val="0"/>
            <w:vAlign w:val="top"/>
          </w:tcPr>
          <w:p w14:paraId="63E44410">
            <w:pPr>
              <w:pStyle w:val="11"/>
              <w:spacing w:before="31" w:line="237" w:lineRule="auto"/>
              <w:ind w:right="104"/>
              <w:jc w:val="center"/>
              <w:rPr>
                <w:rFonts w:hint="eastAsia" w:ascii="仿宋_GB2312" w:hAnsi="仿宋_GB2312" w:eastAsia="仿宋_GB2312" w:cs="仿宋_GB2312"/>
              </w:rPr>
            </w:pPr>
          </w:p>
        </w:tc>
        <w:tc>
          <w:tcPr>
            <w:tcW w:w="1251" w:type="dxa"/>
            <w:vMerge w:val="continue"/>
            <w:noWrap w:val="0"/>
            <w:vAlign w:val="top"/>
          </w:tcPr>
          <w:p w14:paraId="24FB6FB6">
            <w:pPr>
              <w:pStyle w:val="11"/>
              <w:spacing w:before="31" w:line="237" w:lineRule="auto"/>
              <w:ind w:right="104"/>
              <w:jc w:val="center"/>
              <w:rPr>
                <w:rFonts w:hint="eastAsia" w:ascii="仿宋_GB2312" w:hAnsi="仿宋_GB2312" w:eastAsia="仿宋_GB2312" w:cs="仿宋_GB2312"/>
              </w:rPr>
            </w:pPr>
          </w:p>
        </w:tc>
        <w:tc>
          <w:tcPr>
            <w:tcW w:w="2472" w:type="dxa"/>
            <w:gridSpan w:val="2"/>
            <w:noWrap w:val="0"/>
            <w:vAlign w:val="top"/>
          </w:tcPr>
          <w:p w14:paraId="6640A46A">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3-5年生（含5年）</w:t>
            </w:r>
          </w:p>
        </w:tc>
        <w:tc>
          <w:tcPr>
            <w:tcW w:w="3560" w:type="dxa"/>
            <w:gridSpan w:val="3"/>
            <w:noWrap w:val="0"/>
            <w:vAlign w:val="top"/>
          </w:tcPr>
          <w:p w14:paraId="0B66CF3D">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28000/亩</w:t>
            </w:r>
          </w:p>
        </w:tc>
      </w:tr>
      <w:tr w14:paraId="541D02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1655" w:type="dxa"/>
            <w:vMerge w:val="continue"/>
            <w:noWrap w:val="0"/>
            <w:vAlign w:val="top"/>
          </w:tcPr>
          <w:p w14:paraId="761EB80D">
            <w:pPr>
              <w:pStyle w:val="11"/>
              <w:spacing w:before="31" w:line="237" w:lineRule="auto"/>
              <w:ind w:right="104"/>
              <w:jc w:val="center"/>
              <w:rPr>
                <w:rFonts w:hint="eastAsia" w:ascii="仿宋_GB2312" w:hAnsi="仿宋_GB2312" w:eastAsia="仿宋_GB2312" w:cs="仿宋_GB2312"/>
              </w:rPr>
            </w:pPr>
          </w:p>
        </w:tc>
        <w:tc>
          <w:tcPr>
            <w:tcW w:w="1251" w:type="dxa"/>
            <w:vMerge w:val="continue"/>
            <w:noWrap w:val="0"/>
            <w:vAlign w:val="top"/>
          </w:tcPr>
          <w:p w14:paraId="16328684">
            <w:pPr>
              <w:pStyle w:val="11"/>
              <w:spacing w:before="31" w:line="237" w:lineRule="auto"/>
              <w:ind w:right="104"/>
              <w:jc w:val="center"/>
              <w:rPr>
                <w:rFonts w:hint="eastAsia" w:ascii="仿宋_GB2312" w:hAnsi="仿宋_GB2312" w:eastAsia="仿宋_GB2312" w:cs="仿宋_GB2312"/>
              </w:rPr>
            </w:pPr>
          </w:p>
        </w:tc>
        <w:tc>
          <w:tcPr>
            <w:tcW w:w="2472" w:type="dxa"/>
            <w:gridSpan w:val="2"/>
            <w:noWrap w:val="0"/>
            <w:vAlign w:val="top"/>
          </w:tcPr>
          <w:p w14:paraId="318AF826">
            <w:pPr>
              <w:pStyle w:val="11"/>
              <w:spacing w:before="31" w:line="237" w:lineRule="auto"/>
              <w:ind w:right="104"/>
              <w:jc w:val="center"/>
              <w:rPr>
                <w:rFonts w:hint="eastAsia" w:ascii="仿宋_GB2312" w:hAnsi="仿宋_GB2312" w:eastAsia="仿宋_GB2312" w:cs="仿宋_GB2312"/>
              </w:rPr>
            </w:pPr>
            <w:r>
              <w:rPr>
                <w:rFonts w:hint="eastAsia" w:ascii="仿宋_GB2312" w:hAnsi="仿宋_GB2312" w:eastAsia="仿宋_GB2312" w:cs="仿宋_GB2312"/>
                <w:lang w:eastAsia="zh-CN"/>
              </w:rPr>
              <w:t>5年生以上</w:t>
            </w:r>
          </w:p>
        </w:tc>
        <w:tc>
          <w:tcPr>
            <w:tcW w:w="3560" w:type="dxa"/>
            <w:gridSpan w:val="3"/>
            <w:noWrap w:val="0"/>
            <w:vAlign w:val="top"/>
          </w:tcPr>
          <w:p w14:paraId="4F20C95A">
            <w:pPr>
              <w:pStyle w:val="11"/>
              <w:spacing w:before="31" w:line="237" w:lineRule="auto"/>
              <w:ind w:right="104"/>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30000/亩</w:t>
            </w:r>
          </w:p>
        </w:tc>
      </w:tr>
    </w:tbl>
    <w:p w14:paraId="2EF9F174">
      <w:pPr>
        <w:spacing w:line="260" w:lineRule="exact"/>
        <w:ind w:left="1050" w:leftChars="100" w:hanging="840" w:hangingChars="400"/>
        <w:rPr>
          <w:rFonts w:hint="eastAsia" w:ascii="仿宋_GB2312" w:hAnsi="宋体" w:eastAsia="仿宋_GB2312"/>
          <w:szCs w:val="21"/>
        </w:rPr>
      </w:pPr>
      <w:r>
        <w:rPr>
          <w:rFonts w:hint="eastAsia" w:ascii="仿宋_GB2312" w:hAnsi="宋体" w:eastAsia="仿宋_GB2312"/>
          <w:szCs w:val="21"/>
        </w:rPr>
        <w:t>备注：1.</w:t>
      </w:r>
      <w:r>
        <w:rPr>
          <w:rFonts w:hint="eastAsia" w:ascii="仿宋_GB2312" w:hAnsi="宋体" w:eastAsia="仿宋_GB2312"/>
          <w:spacing w:val="-4"/>
          <w:szCs w:val="21"/>
        </w:rPr>
        <w:t>幼年树：1年&lt;树龄≤3年；辨识特征：果树定植到第一次开花结果，枝条多以新梢、一注：1.幼年树：1年&lt;树龄≤3年；辨识特征：果树定植到第一次开花结果，枝条多以新梢、一年生枝及两年生枝为主；青年树：3年&lt;树龄≤5年；辨识特征：第一次结果到大量结果前，根系和树冠继续扩大，树体结构基本形成；盛年树：5年&lt;树龄&lt;25年；辨识特征：大量结果到产量明显下降，树体结构形成，中短果枝大量增加，全树形成大量花芽；衰年树：树龄&gt;25年；辨识特征：骨干枝前端出现枯死，树体老化甚至死亡。</w:t>
      </w:r>
    </w:p>
    <w:p w14:paraId="6301E884">
      <w:pPr>
        <w:spacing w:line="260" w:lineRule="exact"/>
        <w:ind w:firstLine="840" w:firstLineChars="400"/>
        <w:rPr>
          <w:rFonts w:hint="eastAsia" w:ascii="仿宋_GB2312" w:hAnsi="宋体" w:eastAsia="仿宋_GB2312"/>
          <w:szCs w:val="21"/>
        </w:rPr>
      </w:pPr>
      <w:r>
        <w:rPr>
          <w:rFonts w:hint="eastAsia" w:ascii="仿宋_GB2312" w:hAnsi="宋体" w:eastAsia="仿宋_GB2312"/>
          <w:szCs w:val="21"/>
        </w:rPr>
        <w:t>2.以上种植应符合合理密度，不足的按实际密度进行折算；</w:t>
      </w:r>
    </w:p>
    <w:p w14:paraId="5539A449">
      <w:pPr>
        <w:spacing w:line="260" w:lineRule="exact"/>
        <w:ind w:firstLine="840" w:firstLineChars="400"/>
        <w:rPr>
          <w:rFonts w:hint="eastAsia" w:ascii="仿宋_GB2312" w:hAnsi="宋体" w:eastAsia="仿宋_GB2312"/>
          <w:szCs w:val="21"/>
        </w:rPr>
      </w:pPr>
      <w:r>
        <w:rPr>
          <w:rFonts w:hint="eastAsia" w:ascii="仿宋_GB2312" w:hAnsi="宋体" w:eastAsia="仿宋_GB2312"/>
          <w:szCs w:val="21"/>
        </w:rPr>
        <w:t>3.未明确品种的，参照以上相近的农作物及相关规定标准执行。</w:t>
      </w:r>
    </w:p>
    <w:p w14:paraId="64A9B52B">
      <w:pPr>
        <w:spacing w:line="260" w:lineRule="exact"/>
        <w:ind w:firstLine="840" w:firstLineChars="400"/>
        <w:rPr>
          <w:rFonts w:hint="eastAsia" w:ascii="仿宋_GB2312" w:hAnsi="宋体" w:eastAsia="仿宋_GB2312"/>
          <w:szCs w:val="21"/>
        </w:rPr>
        <w:sectPr>
          <w:pgSz w:w="11900" w:h="16838"/>
          <w:pgMar w:top="1587" w:right="1272" w:bottom="1587" w:left="1588" w:header="0" w:footer="964" w:gutter="0"/>
          <w:cols w:space="720" w:num="1"/>
          <w:docGrid w:linePitch="368" w:charSpace="0"/>
        </w:sectPr>
      </w:pPr>
    </w:p>
    <w:p w14:paraId="0540781F">
      <w:pPr>
        <w:widowControl/>
        <w:spacing w:line="560" w:lineRule="exac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14:paraId="08732C53">
      <w:pPr>
        <w:spacing w:before="48" w:line="209" w:lineRule="auto"/>
        <w:ind w:left="1896"/>
        <w:rPr>
          <w:rFonts w:ascii="宋体" w:hAnsi="宋体" w:eastAsia="宋体" w:cs="宋体"/>
          <w:sz w:val="44"/>
          <w:szCs w:val="44"/>
        </w:rPr>
      </w:pPr>
      <w:r>
        <w:rPr>
          <w:rFonts w:hint="eastAsia" w:ascii="方正小标宋简体" w:hAnsi="方正小标宋简体" w:eastAsia="方正小标宋简体" w:cs="方正小标宋简体"/>
          <w:b w:val="0"/>
          <w:bCs w:val="0"/>
          <w:spacing w:val="-4"/>
          <w:sz w:val="44"/>
          <w:szCs w:val="44"/>
        </w:rPr>
        <w:t>石城县坟墓迁移补偿标准表</w:t>
      </w:r>
    </w:p>
    <w:p w14:paraId="33F2954D">
      <w:pPr>
        <w:spacing w:line="220" w:lineRule="auto"/>
        <w:ind w:left="722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单位：穴/元</w:t>
      </w:r>
    </w:p>
    <w:p w14:paraId="66EF1177">
      <w:pPr>
        <w:spacing w:line="107" w:lineRule="auto"/>
        <w:rPr>
          <w:rFonts w:ascii="Arial"/>
          <w:sz w:val="2"/>
        </w:rPr>
      </w:pPr>
    </w:p>
    <w:tbl>
      <w:tblPr>
        <w:tblStyle w:val="12"/>
        <w:tblW w:w="0" w:type="auto"/>
        <w:tblInd w:w="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2147"/>
        <w:gridCol w:w="939"/>
        <w:gridCol w:w="909"/>
        <w:gridCol w:w="989"/>
        <w:gridCol w:w="759"/>
        <w:gridCol w:w="759"/>
        <w:gridCol w:w="759"/>
        <w:gridCol w:w="774"/>
      </w:tblGrid>
      <w:tr w14:paraId="177AEE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924" w:type="dxa"/>
            <w:vMerge w:val="restart"/>
            <w:tcBorders>
              <w:bottom w:val="nil"/>
            </w:tcBorders>
            <w:noWrap w:val="0"/>
            <w:vAlign w:val="center"/>
          </w:tcPr>
          <w:p w14:paraId="36376E4B">
            <w:pPr>
              <w:pStyle w:val="11"/>
              <w:spacing w:before="78" w:line="221" w:lineRule="auto"/>
              <w:ind w:left="12" w:leftChars="0" w:hanging="12" w:hangingChars="5"/>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名称</w:t>
            </w:r>
          </w:p>
        </w:tc>
        <w:tc>
          <w:tcPr>
            <w:tcW w:w="2147" w:type="dxa"/>
            <w:vMerge w:val="restart"/>
            <w:tcBorders>
              <w:bottom w:val="nil"/>
            </w:tcBorders>
            <w:noWrap w:val="0"/>
            <w:vAlign w:val="center"/>
          </w:tcPr>
          <w:p w14:paraId="6A2D8282">
            <w:pPr>
              <w:pStyle w:val="11"/>
              <w:spacing w:before="78" w:line="219" w:lineRule="auto"/>
              <w:ind w:left="0" w:lef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类别</w:t>
            </w:r>
          </w:p>
        </w:tc>
        <w:tc>
          <w:tcPr>
            <w:tcW w:w="2837" w:type="dxa"/>
            <w:gridSpan w:val="3"/>
            <w:noWrap w:val="0"/>
            <w:vAlign w:val="top"/>
          </w:tcPr>
          <w:p w14:paraId="6EA43D3D">
            <w:pPr>
              <w:pStyle w:val="11"/>
              <w:spacing w:before="168" w:line="222" w:lineRule="auto"/>
              <w:ind w:left="1054"/>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入公墓</w:t>
            </w:r>
          </w:p>
        </w:tc>
        <w:tc>
          <w:tcPr>
            <w:tcW w:w="2277" w:type="dxa"/>
            <w:gridSpan w:val="3"/>
            <w:noWrap w:val="0"/>
            <w:vAlign w:val="top"/>
          </w:tcPr>
          <w:p w14:paraId="18B4A3FC">
            <w:pPr>
              <w:pStyle w:val="11"/>
              <w:spacing w:before="164" w:line="219" w:lineRule="auto"/>
              <w:ind w:left="667"/>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入骨灰堂</w:t>
            </w:r>
          </w:p>
        </w:tc>
        <w:tc>
          <w:tcPr>
            <w:tcW w:w="774" w:type="dxa"/>
            <w:vMerge w:val="restart"/>
            <w:tcBorders>
              <w:bottom w:val="nil"/>
            </w:tcBorders>
            <w:noWrap w:val="0"/>
            <w:vAlign w:val="top"/>
          </w:tcPr>
          <w:p w14:paraId="579F5E8B">
            <w:pPr>
              <w:spacing w:line="375" w:lineRule="auto"/>
              <w:rPr>
                <w:rFonts w:hint="eastAsia" w:ascii="仿宋_GB2312" w:hAnsi="仿宋_GB2312" w:eastAsia="仿宋_GB2312" w:cs="仿宋_GB2312"/>
                <w:sz w:val="24"/>
                <w:szCs w:val="24"/>
              </w:rPr>
            </w:pPr>
          </w:p>
          <w:p w14:paraId="0DD116A4">
            <w:pPr>
              <w:pStyle w:val="11"/>
              <w:spacing w:before="78" w:line="220" w:lineRule="auto"/>
              <w:ind w:left="139"/>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其他</w:t>
            </w:r>
          </w:p>
        </w:tc>
      </w:tr>
      <w:tr w14:paraId="683EA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924" w:type="dxa"/>
            <w:vMerge w:val="continue"/>
            <w:tcBorders>
              <w:top w:val="nil"/>
            </w:tcBorders>
            <w:noWrap w:val="0"/>
            <w:vAlign w:val="top"/>
          </w:tcPr>
          <w:p w14:paraId="5C35944B">
            <w:pPr>
              <w:rPr>
                <w:rFonts w:hint="eastAsia" w:ascii="仿宋_GB2312" w:hAnsi="仿宋_GB2312" w:eastAsia="仿宋_GB2312" w:cs="仿宋_GB2312"/>
                <w:sz w:val="24"/>
                <w:szCs w:val="24"/>
              </w:rPr>
            </w:pPr>
          </w:p>
        </w:tc>
        <w:tc>
          <w:tcPr>
            <w:tcW w:w="2147" w:type="dxa"/>
            <w:vMerge w:val="continue"/>
            <w:tcBorders>
              <w:top w:val="nil"/>
            </w:tcBorders>
            <w:noWrap w:val="0"/>
            <w:vAlign w:val="top"/>
          </w:tcPr>
          <w:p w14:paraId="61628A3E">
            <w:pPr>
              <w:rPr>
                <w:rFonts w:hint="eastAsia" w:ascii="仿宋_GB2312" w:hAnsi="仿宋_GB2312" w:eastAsia="仿宋_GB2312" w:cs="仿宋_GB2312"/>
                <w:sz w:val="24"/>
                <w:szCs w:val="24"/>
              </w:rPr>
            </w:pPr>
          </w:p>
        </w:tc>
        <w:tc>
          <w:tcPr>
            <w:tcW w:w="939" w:type="dxa"/>
            <w:noWrap w:val="0"/>
            <w:vAlign w:val="top"/>
          </w:tcPr>
          <w:p w14:paraId="1291523E">
            <w:pPr>
              <w:pStyle w:val="11"/>
              <w:spacing w:before="162" w:line="221" w:lineRule="auto"/>
              <w:ind w:left="223"/>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小计</w:t>
            </w:r>
          </w:p>
        </w:tc>
        <w:tc>
          <w:tcPr>
            <w:tcW w:w="909" w:type="dxa"/>
            <w:noWrap w:val="0"/>
            <w:vAlign w:val="top"/>
          </w:tcPr>
          <w:p w14:paraId="234EE362">
            <w:pPr>
              <w:pStyle w:val="11"/>
              <w:spacing w:before="160" w:line="219" w:lineRule="auto"/>
              <w:ind w:left="205"/>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个人</w:t>
            </w:r>
          </w:p>
        </w:tc>
        <w:tc>
          <w:tcPr>
            <w:tcW w:w="989" w:type="dxa"/>
            <w:noWrap w:val="0"/>
            <w:vAlign w:val="top"/>
          </w:tcPr>
          <w:p w14:paraId="14168E11">
            <w:pPr>
              <w:pStyle w:val="11"/>
              <w:spacing w:before="164" w:line="222" w:lineRule="auto"/>
              <w:ind w:left="246"/>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公墓</w:t>
            </w:r>
          </w:p>
        </w:tc>
        <w:tc>
          <w:tcPr>
            <w:tcW w:w="759" w:type="dxa"/>
            <w:noWrap w:val="0"/>
            <w:vAlign w:val="top"/>
          </w:tcPr>
          <w:p w14:paraId="08CE122B">
            <w:pPr>
              <w:pStyle w:val="11"/>
              <w:spacing w:before="162" w:line="221" w:lineRule="auto"/>
              <w:ind w:left="136"/>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小计</w:t>
            </w:r>
          </w:p>
        </w:tc>
        <w:tc>
          <w:tcPr>
            <w:tcW w:w="759" w:type="dxa"/>
            <w:noWrap w:val="0"/>
            <w:vAlign w:val="top"/>
          </w:tcPr>
          <w:p w14:paraId="11B6D439">
            <w:pPr>
              <w:pStyle w:val="11"/>
              <w:spacing w:before="160" w:line="219" w:lineRule="auto"/>
              <w:ind w:left="137"/>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个人</w:t>
            </w:r>
          </w:p>
        </w:tc>
        <w:tc>
          <w:tcPr>
            <w:tcW w:w="759" w:type="dxa"/>
            <w:noWrap w:val="0"/>
            <w:vAlign w:val="top"/>
          </w:tcPr>
          <w:p w14:paraId="69358B73">
            <w:pPr>
              <w:pStyle w:val="11"/>
              <w:spacing w:before="160" w:line="219" w:lineRule="auto"/>
              <w:jc w:val="right"/>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骨灰堂</w:t>
            </w:r>
          </w:p>
        </w:tc>
        <w:tc>
          <w:tcPr>
            <w:tcW w:w="774" w:type="dxa"/>
            <w:vMerge w:val="continue"/>
            <w:tcBorders>
              <w:top w:val="nil"/>
            </w:tcBorders>
            <w:noWrap w:val="0"/>
            <w:vAlign w:val="top"/>
          </w:tcPr>
          <w:p w14:paraId="7490FAED">
            <w:pPr>
              <w:rPr>
                <w:rFonts w:hint="eastAsia" w:ascii="仿宋_GB2312" w:hAnsi="仿宋_GB2312" w:eastAsia="仿宋_GB2312" w:cs="仿宋_GB2312"/>
                <w:sz w:val="24"/>
                <w:szCs w:val="24"/>
              </w:rPr>
            </w:pPr>
          </w:p>
        </w:tc>
      </w:tr>
      <w:tr w14:paraId="1212C1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6" w:hRule="atLeast"/>
        </w:trPr>
        <w:tc>
          <w:tcPr>
            <w:tcW w:w="924" w:type="dxa"/>
            <w:vMerge w:val="restart"/>
            <w:tcBorders>
              <w:bottom w:val="nil"/>
            </w:tcBorders>
            <w:noWrap w:val="0"/>
            <w:vAlign w:val="center"/>
          </w:tcPr>
          <w:p w14:paraId="1DC4E0FD">
            <w:pPr>
              <w:pStyle w:val="11"/>
              <w:spacing w:before="78" w:line="220" w:lineRule="auto"/>
              <w:ind w:left="16" w:leftChars="0" w:hanging="16" w:hangingChars="7"/>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迁坟</w:t>
            </w:r>
          </w:p>
        </w:tc>
        <w:tc>
          <w:tcPr>
            <w:tcW w:w="2147" w:type="dxa"/>
            <w:noWrap w:val="0"/>
            <w:vAlign w:val="center"/>
          </w:tcPr>
          <w:p w14:paraId="3288998E">
            <w:pPr>
              <w:pStyle w:val="11"/>
              <w:spacing w:before="78"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有墓碑坟，墓穴为全</w:t>
            </w:r>
          </w:p>
          <w:p w14:paraId="2E4A2CE8">
            <w:pPr>
              <w:pStyle w:val="11"/>
              <w:spacing w:before="25"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堂石含花岗岩、大理</w:t>
            </w:r>
          </w:p>
          <w:p w14:paraId="139BAD5B">
            <w:pPr>
              <w:pStyle w:val="11"/>
              <w:spacing w:before="3" w:line="219"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石、红石条等材质结</w:t>
            </w:r>
          </w:p>
          <w:p w14:paraId="6DD9388F">
            <w:pPr>
              <w:pStyle w:val="11"/>
              <w:spacing w:before="37" w:line="220" w:lineRule="auto"/>
              <w:ind w:left="94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构</w:t>
            </w:r>
          </w:p>
        </w:tc>
        <w:tc>
          <w:tcPr>
            <w:tcW w:w="939" w:type="dxa"/>
            <w:noWrap w:val="0"/>
            <w:vAlign w:val="center"/>
          </w:tcPr>
          <w:p w14:paraId="28B1F8D4">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3800</w:t>
            </w:r>
          </w:p>
        </w:tc>
        <w:tc>
          <w:tcPr>
            <w:tcW w:w="909" w:type="dxa"/>
            <w:noWrap w:val="0"/>
            <w:vAlign w:val="center"/>
          </w:tcPr>
          <w:p w14:paraId="3A385566">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2400</w:t>
            </w:r>
          </w:p>
        </w:tc>
        <w:tc>
          <w:tcPr>
            <w:tcW w:w="989" w:type="dxa"/>
            <w:noWrap w:val="0"/>
            <w:vAlign w:val="center"/>
          </w:tcPr>
          <w:p w14:paraId="6B2BC60D">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1400</w:t>
            </w:r>
          </w:p>
        </w:tc>
        <w:tc>
          <w:tcPr>
            <w:tcW w:w="759" w:type="dxa"/>
            <w:noWrap w:val="0"/>
            <w:vAlign w:val="center"/>
          </w:tcPr>
          <w:p w14:paraId="55174956">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3800</w:t>
            </w:r>
          </w:p>
        </w:tc>
        <w:tc>
          <w:tcPr>
            <w:tcW w:w="759" w:type="dxa"/>
            <w:noWrap w:val="0"/>
            <w:vAlign w:val="center"/>
          </w:tcPr>
          <w:p w14:paraId="32DB6535">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3300</w:t>
            </w:r>
          </w:p>
        </w:tc>
        <w:tc>
          <w:tcPr>
            <w:tcW w:w="759" w:type="dxa"/>
            <w:noWrap w:val="0"/>
            <w:vAlign w:val="center"/>
          </w:tcPr>
          <w:p w14:paraId="444AD1EE">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c>
          <w:tcPr>
            <w:tcW w:w="774" w:type="dxa"/>
            <w:noWrap w:val="0"/>
            <w:vAlign w:val="center"/>
          </w:tcPr>
          <w:p w14:paraId="49FF6202">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2400</w:t>
            </w:r>
          </w:p>
        </w:tc>
      </w:tr>
      <w:tr w14:paraId="7DC92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7" w:hRule="atLeast"/>
        </w:trPr>
        <w:tc>
          <w:tcPr>
            <w:tcW w:w="924" w:type="dxa"/>
            <w:vMerge w:val="continue"/>
            <w:tcBorders>
              <w:top w:val="nil"/>
              <w:bottom w:val="nil"/>
            </w:tcBorders>
            <w:noWrap w:val="0"/>
            <w:vAlign w:val="center"/>
          </w:tcPr>
          <w:p w14:paraId="47B3E073">
            <w:pPr>
              <w:jc w:val="center"/>
              <w:rPr>
                <w:rFonts w:hint="eastAsia" w:ascii="仿宋_GB2312" w:hAnsi="仿宋_GB2312" w:eastAsia="仿宋_GB2312" w:cs="仿宋_GB2312"/>
                <w:sz w:val="24"/>
                <w:szCs w:val="24"/>
              </w:rPr>
            </w:pPr>
          </w:p>
        </w:tc>
        <w:tc>
          <w:tcPr>
            <w:tcW w:w="2147" w:type="dxa"/>
            <w:noWrap w:val="0"/>
            <w:vAlign w:val="center"/>
          </w:tcPr>
          <w:p w14:paraId="41130A6B">
            <w:pPr>
              <w:pStyle w:val="11"/>
              <w:spacing w:before="78" w:line="232" w:lineRule="auto"/>
              <w:ind w:left="218" w:hanging="207"/>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有墓碑坟，墓穴为其</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1"/>
                <w:sz w:val="24"/>
                <w:szCs w:val="24"/>
              </w:rPr>
              <w:t>他简易材质结构</w:t>
            </w:r>
          </w:p>
        </w:tc>
        <w:tc>
          <w:tcPr>
            <w:tcW w:w="939" w:type="dxa"/>
            <w:noWrap w:val="0"/>
            <w:vAlign w:val="center"/>
          </w:tcPr>
          <w:p w14:paraId="74DFB7F3">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2500</w:t>
            </w:r>
          </w:p>
        </w:tc>
        <w:tc>
          <w:tcPr>
            <w:tcW w:w="909" w:type="dxa"/>
            <w:noWrap w:val="0"/>
            <w:vAlign w:val="center"/>
          </w:tcPr>
          <w:p w14:paraId="3AB0EF97">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1100</w:t>
            </w:r>
          </w:p>
        </w:tc>
        <w:tc>
          <w:tcPr>
            <w:tcW w:w="989" w:type="dxa"/>
            <w:noWrap w:val="0"/>
            <w:vAlign w:val="center"/>
          </w:tcPr>
          <w:p w14:paraId="37B1F814">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1400</w:t>
            </w:r>
          </w:p>
        </w:tc>
        <w:tc>
          <w:tcPr>
            <w:tcW w:w="759" w:type="dxa"/>
            <w:noWrap w:val="0"/>
            <w:vAlign w:val="center"/>
          </w:tcPr>
          <w:p w14:paraId="01789602">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2500</w:t>
            </w:r>
          </w:p>
        </w:tc>
        <w:tc>
          <w:tcPr>
            <w:tcW w:w="759" w:type="dxa"/>
            <w:noWrap w:val="0"/>
            <w:vAlign w:val="center"/>
          </w:tcPr>
          <w:p w14:paraId="3B31D390">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2000</w:t>
            </w:r>
          </w:p>
        </w:tc>
        <w:tc>
          <w:tcPr>
            <w:tcW w:w="759" w:type="dxa"/>
            <w:noWrap w:val="0"/>
            <w:vAlign w:val="center"/>
          </w:tcPr>
          <w:p w14:paraId="2C11ED30">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c>
          <w:tcPr>
            <w:tcW w:w="774" w:type="dxa"/>
            <w:noWrap w:val="0"/>
            <w:vAlign w:val="center"/>
          </w:tcPr>
          <w:p w14:paraId="71C3610A">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1100</w:t>
            </w:r>
          </w:p>
        </w:tc>
      </w:tr>
      <w:tr w14:paraId="48303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3" w:hRule="atLeast"/>
        </w:trPr>
        <w:tc>
          <w:tcPr>
            <w:tcW w:w="924" w:type="dxa"/>
            <w:vMerge w:val="continue"/>
            <w:tcBorders>
              <w:top w:val="nil"/>
            </w:tcBorders>
            <w:noWrap w:val="0"/>
            <w:vAlign w:val="center"/>
          </w:tcPr>
          <w:p w14:paraId="238D5A63">
            <w:pPr>
              <w:jc w:val="center"/>
              <w:rPr>
                <w:rFonts w:hint="eastAsia" w:ascii="仿宋_GB2312" w:hAnsi="仿宋_GB2312" w:eastAsia="仿宋_GB2312" w:cs="仿宋_GB2312"/>
                <w:sz w:val="24"/>
                <w:szCs w:val="24"/>
              </w:rPr>
            </w:pPr>
          </w:p>
        </w:tc>
        <w:tc>
          <w:tcPr>
            <w:tcW w:w="2147" w:type="dxa"/>
            <w:noWrap w:val="0"/>
            <w:vAlign w:val="center"/>
          </w:tcPr>
          <w:p w14:paraId="7563AC65">
            <w:pPr>
              <w:pStyle w:val="11"/>
              <w:spacing w:before="78" w:line="219" w:lineRule="auto"/>
              <w:ind w:left="58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无墓碑坟</w:t>
            </w:r>
          </w:p>
        </w:tc>
        <w:tc>
          <w:tcPr>
            <w:tcW w:w="939" w:type="dxa"/>
            <w:noWrap w:val="0"/>
            <w:vAlign w:val="center"/>
          </w:tcPr>
          <w:p w14:paraId="5B9A785F">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1900</w:t>
            </w:r>
          </w:p>
        </w:tc>
        <w:tc>
          <w:tcPr>
            <w:tcW w:w="909" w:type="dxa"/>
            <w:noWrap w:val="0"/>
            <w:vAlign w:val="center"/>
          </w:tcPr>
          <w:p w14:paraId="6B622BC2">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c>
          <w:tcPr>
            <w:tcW w:w="989" w:type="dxa"/>
            <w:noWrap w:val="0"/>
            <w:vAlign w:val="center"/>
          </w:tcPr>
          <w:p w14:paraId="121B7F7E">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1400</w:t>
            </w:r>
          </w:p>
        </w:tc>
        <w:tc>
          <w:tcPr>
            <w:tcW w:w="759" w:type="dxa"/>
            <w:noWrap w:val="0"/>
            <w:vAlign w:val="center"/>
          </w:tcPr>
          <w:p w14:paraId="434C17AD">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1900</w:t>
            </w:r>
          </w:p>
        </w:tc>
        <w:tc>
          <w:tcPr>
            <w:tcW w:w="759" w:type="dxa"/>
            <w:noWrap w:val="0"/>
            <w:vAlign w:val="center"/>
          </w:tcPr>
          <w:p w14:paraId="02940624">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1400</w:t>
            </w:r>
          </w:p>
        </w:tc>
        <w:tc>
          <w:tcPr>
            <w:tcW w:w="759" w:type="dxa"/>
            <w:noWrap w:val="0"/>
            <w:vAlign w:val="center"/>
          </w:tcPr>
          <w:p w14:paraId="58C545CA">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c>
          <w:tcPr>
            <w:tcW w:w="774" w:type="dxa"/>
            <w:noWrap w:val="0"/>
            <w:vAlign w:val="center"/>
          </w:tcPr>
          <w:p w14:paraId="7F08846D">
            <w:pPr>
              <w:pStyle w:val="11"/>
              <w:spacing w:before="78"/>
              <w:ind w:left="3" w:leftChars="0" w:hanging="3"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500</w:t>
            </w:r>
          </w:p>
        </w:tc>
      </w:tr>
    </w:tbl>
    <w:p w14:paraId="3FAE37E1">
      <w:pPr>
        <w:pStyle w:val="2"/>
        <w:spacing w:before="257" w:line="231" w:lineRule="auto"/>
        <w:ind w:left="1289" w:leftChars="0" w:right="1" w:hanging="869" w:firstLineChars="0"/>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备注：1.有墓碑坟以墓碑上篆刻逝者姓名数量或墓</w:t>
      </w:r>
      <w:r>
        <w:rPr>
          <w:rFonts w:hint="eastAsia" w:ascii="仿宋_GB2312" w:hAnsi="仿宋_GB2312" w:eastAsia="仿宋_GB2312" w:cs="仿宋_GB2312"/>
          <w:spacing w:val="6"/>
          <w:sz w:val="20"/>
          <w:szCs w:val="20"/>
        </w:rPr>
        <w:t>穴中实际合葬骨灰数量为单位计算穴数；无</w:t>
      </w:r>
      <w:r>
        <w:rPr>
          <w:rFonts w:hint="eastAsia" w:ascii="仿宋_GB2312" w:hAnsi="仿宋_GB2312" w:eastAsia="仿宋_GB2312" w:cs="仿宋_GB2312"/>
          <w:spacing w:val="7"/>
          <w:sz w:val="20"/>
          <w:szCs w:val="20"/>
        </w:rPr>
        <w:t>墓碑坟以墓穴数为单位计算穴数。</w:t>
      </w:r>
    </w:p>
    <w:p w14:paraId="2C86663C">
      <w:pPr>
        <w:pStyle w:val="2"/>
        <w:spacing w:before="2" w:line="241" w:lineRule="auto"/>
        <w:ind w:left="1059" w:right="1"/>
        <w:rPr>
          <w:rFonts w:hint="eastAsia" w:ascii="仿宋_GB2312" w:hAnsi="仿宋_GB2312" w:eastAsia="仿宋_GB2312" w:cs="仿宋_GB2312"/>
          <w:sz w:val="20"/>
          <w:szCs w:val="20"/>
        </w:rPr>
      </w:pPr>
      <w:r>
        <w:rPr>
          <w:rFonts w:hint="eastAsia" w:ascii="仿宋_GB2312" w:hAnsi="仿宋_GB2312" w:eastAsia="仿宋_GB2312" w:cs="仿宋_GB2312"/>
          <w:spacing w:val="10"/>
          <w:sz w:val="20"/>
          <w:szCs w:val="20"/>
        </w:rPr>
        <w:t>2.为落实民政部等16部委《关于进一步推动殡</w:t>
      </w:r>
      <w:r>
        <w:rPr>
          <w:rFonts w:hint="eastAsia" w:ascii="仿宋_GB2312" w:hAnsi="仿宋_GB2312" w:eastAsia="仿宋_GB2312" w:cs="仿宋_GB2312"/>
          <w:spacing w:val="9"/>
          <w:sz w:val="20"/>
          <w:szCs w:val="20"/>
        </w:rPr>
        <w:t>葬改革促进殡葬事业发展的指导意见》精</w:t>
      </w:r>
      <w:r>
        <w:rPr>
          <w:rFonts w:hint="eastAsia" w:ascii="仿宋_GB2312" w:hAnsi="仿宋_GB2312" w:eastAsia="仿宋_GB2312" w:cs="仿宋_GB2312"/>
          <w:sz w:val="20"/>
          <w:szCs w:val="20"/>
        </w:rPr>
        <w:t xml:space="preserve"> </w:t>
      </w:r>
      <w:r>
        <w:rPr>
          <w:rFonts w:hint="eastAsia" w:ascii="仿宋_GB2312" w:hAnsi="仿宋_GB2312" w:eastAsia="仿宋_GB2312" w:cs="仿宋_GB2312"/>
          <w:spacing w:val="10"/>
          <w:sz w:val="20"/>
          <w:szCs w:val="20"/>
        </w:rPr>
        <w:t>神，推行节地生态安葬和丧葬移风易俗，避免出现同一具骨灰被重复征地迁坟，应统一</w:t>
      </w:r>
      <w:r>
        <w:rPr>
          <w:rFonts w:hint="eastAsia" w:ascii="仿宋_GB2312" w:hAnsi="仿宋_GB2312" w:eastAsia="仿宋_GB2312" w:cs="仿宋_GB2312"/>
          <w:spacing w:val="5"/>
          <w:sz w:val="20"/>
          <w:szCs w:val="20"/>
        </w:rPr>
        <w:t xml:space="preserve"> </w:t>
      </w:r>
      <w:r>
        <w:rPr>
          <w:rFonts w:hint="eastAsia" w:ascii="仿宋_GB2312" w:hAnsi="仿宋_GB2312" w:eastAsia="仿宋_GB2312" w:cs="仿宋_GB2312"/>
          <w:spacing w:val="31"/>
          <w:sz w:val="20"/>
          <w:szCs w:val="20"/>
        </w:rPr>
        <w:t>迁至指定公墓或骨灰堂内安葬(放),不允许在公墓(骨灰堂)外建坟(墓),特别是</w:t>
      </w:r>
      <w:r>
        <w:rPr>
          <w:rFonts w:hint="eastAsia" w:ascii="仿宋_GB2312" w:hAnsi="仿宋_GB2312" w:eastAsia="仿宋_GB2312" w:cs="仿宋_GB2312"/>
          <w:spacing w:val="4"/>
          <w:sz w:val="20"/>
          <w:szCs w:val="20"/>
        </w:rPr>
        <w:t xml:space="preserve"> </w:t>
      </w:r>
      <w:r>
        <w:rPr>
          <w:rFonts w:hint="eastAsia" w:ascii="仿宋_GB2312" w:hAnsi="仿宋_GB2312" w:eastAsia="仿宋_GB2312" w:cs="仿宋_GB2312"/>
          <w:spacing w:val="6"/>
          <w:sz w:val="20"/>
          <w:szCs w:val="20"/>
        </w:rPr>
        <w:t>在“三沿六区”内散埋乱葬。</w:t>
      </w:r>
    </w:p>
    <w:p w14:paraId="0293D769">
      <w:pPr>
        <w:pStyle w:val="2"/>
        <w:spacing w:before="24" w:line="219" w:lineRule="auto"/>
        <w:ind w:left="1059"/>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3.对有纠纷的坟墓，在纠纷未解决前补偿费用由征收人代存，但不得影响坟墓的搬迁。</w:t>
      </w:r>
    </w:p>
    <w:p w14:paraId="2616F0C7">
      <w:pPr>
        <w:pStyle w:val="2"/>
        <w:spacing w:before="24" w:line="210" w:lineRule="auto"/>
        <w:ind w:left="1059"/>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4.坟墓户主按坟墓搬迁合同先后顺序挑选具体</w:t>
      </w:r>
      <w:r>
        <w:rPr>
          <w:rFonts w:hint="eastAsia" w:ascii="仿宋_GB2312" w:hAnsi="仿宋_GB2312" w:eastAsia="仿宋_GB2312" w:cs="仿宋_GB2312"/>
          <w:spacing w:val="7"/>
          <w:sz w:val="20"/>
          <w:szCs w:val="20"/>
        </w:rPr>
        <w:t>位置。</w:t>
      </w:r>
    </w:p>
    <w:p w14:paraId="26CB8A4D">
      <w:pPr>
        <w:pStyle w:val="2"/>
        <w:spacing w:before="1"/>
        <w:ind w:left="1059"/>
        <w:rPr>
          <w:rFonts w:hint="eastAsia" w:ascii="仿宋_GB2312" w:hAnsi="仿宋_GB2312" w:eastAsia="仿宋_GB2312" w:cs="仿宋_GB2312"/>
          <w:sz w:val="20"/>
          <w:szCs w:val="20"/>
        </w:rPr>
      </w:pPr>
      <w:r>
        <w:rPr>
          <w:rFonts w:hint="eastAsia" w:ascii="仿宋_GB2312" w:hAnsi="仿宋_GB2312" w:eastAsia="仿宋_GB2312" w:cs="仿宋_GB2312"/>
          <w:spacing w:val="10"/>
          <w:sz w:val="20"/>
          <w:szCs w:val="20"/>
        </w:rPr>
        <w:t>5.无墓碑坟未及时按规定期限搬迁的坟墓，则由征收人代相关政策执行，由县</w:t>
      </w:r>
      <w:r>
        <w:rPr>
          <w:rFonts w:hint="eastAsia" w:ascii="仿宋_GB2312" w:hAnsi="仿宋_GB2312" w:eastAsia="仿宋_GB2312" w:cs="仿宋_GB2312"/>
          <w:spacing w:val="9"/>
          <w:sz w:val="20"/>
          <w:szCs w:val="20"/>
        </w:rPr>
        <w:t>财政据实</w:t>
      </w:r>
      <w:r>
        <w:rPr>
          <w:rFonts w:hint="eastAsia" w:ascii="仿宋_GB2312" w:hAnsi="仿宋_GB2312" w:eastAsia="仿宋_GB2312" w:cs="仿宋_GB2312"/>
          <w:sz w:val="20"/>
          <w:szCs w:val="20"/>
        </w:rPr>
        <w:t xml:space="preserve"> </w:t>
      </w:r>
      <w:r>
        <w:rPr>
          <w:rFonts w:hint="eastAsia" w:ascii="仿宋_GB2312" w:hAnsi="仿宋_GB2312" w:eastAsia="仿宋_GB2312" w:cs="仿宋_GB2312"/>
          <w:spacing w:val="6"/>
          <w:sz w:val="20"/>
          <w:szCs w:val="20"/>
        </w:rPr>
        <w:t>直接拨付至公墓管理单位。</w:t>
      </w:r>
    </w:p>
    <w:p w14:paraId="45DA480F">
      <w:pPr>
        <w:spacing w:line="260" w:lineRule="exact"/>
        <w:ind w:firstLine="840" w:firstLineChars="400"/>
        <w:rPr>
          <w:rFonts w:hint="eastAsia" w:ascii="仿宋_GB2312" w:hAnsi="宋体" w:eastAsia="仿宋_GB2312"/>
          <w:szCs w:val="21"/>
        </w:rPr>
      </w:pPr>
    </w:p>
    <w:p w14:paraId="2179D0CC">
      <w:pPr>
        <w:spacing w:line="260" w:lineRule="exact"/>
        <w:rPr>
          <w:rFonts w:hint="eastAsia"/>
        </w:rPr>
      </w:pPr>
    </w:p>
    <w:p w14:paraId="65F606FB"/>
    <w:p w14:paraId="0A9968E0"/>
    <w:p w14:paraId="01E5848A"/>
    <w:p w14:paraId="12A730BA"/>
    <w:p w14:paraId="52F24604"/>
    <w:p w14:paraId="4D093B51"/>
    <w:p w14:paraId="2DECAA65"/>
    <w:p w14:paraId="24C5369B"/>
    <w:p w14:paraId="23E729CA"/>
    <w:p w14:paraId="755CE53A"/>
    <w:p w14:paraId="64A9B7B6"/>
    <w:p w14:paraId="1E87034A">
      <w:pPr>
        <w:widowControl/>
        <w:spacing w:line="560" w:lineRule="exact"/>
        <w:rPr>
          <w:rFonts w:hint="default" w:ascii="黑体" w:hAnsi="黑体" w:eastAsia="黑体"/>
          <w:sz w:val="32"/>
          <w:szCs w:val="32"/>
          <w:lang w:val="en-US" w:eastAsia="zh-CN"/>
        </w:rPr>
      </w:pPr>
    </w:p>
    <w:sectPr>
      <w:pgSz w:w="11900" w:h="16838"/>
      <w:pgMar w:top="1587" w:right="1272" w:bottom="1587" w:left="1588" w:header="0" w:footer="964" w:gutter="0"/>
      <w:cols w:space="720" w:num="1"/>
      <w:docGrid w:linePitch="36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001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D214A4">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posOffset>4554220</wp:posOffset>
              </wp:positionH>
              <wp:positionV relativeFrom="paragraph">
                <wp:posOffset>-226695</wp:posOffset>
              </wp:positionV>
              <wp:extent cx="918845" cy="46101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18845" cy="461010"/>
                      </a:xfrm>
                      <a:prstGeom prst="rect">
                        <a:avLst/>
                      </a:prstGeom>
                      <a:noFill/>
                      <a:ln>
                        <a:noFill/>
                      </a:ln>
                    </wps:spPr>
                    <wps:txbx>
                      <w:txbxContent>
                        <w:p w14:paraId="73B9B879">
                          <w:pPr>
                            <w:pStyle w:val="3"/>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11</w:t>
                          </w:r>
                          <w:r>
                            <w:rPr>
                              <w:rFonts w:ascii="宋体" w:hAnsi="宋体"/>
                              <w:sz w:val="28"/>
                              <w:szCs w:val="28"/>
                            </w:rPr>
                            <w:fldChar w:fldCharType="end"/>
                          </w:r>
                          <w:r>
                            <w:rPr>
                              <w:rFonts w:hint="eastAsia" w:ascii="宋体" w:hAnsi="宋体"/>
                              <w:sz w:val="28"/>
                              <w:szCs w:val="28"/>
                            </w:rPr>
                            <w:t xml:space="preserve">  —</w:t>
                          </w:r>
                        </w:p>
                      </w:txbxContent>
                    </wps:txbx>
                    <wps:bodyPr lIns="0" tIns="0" rIns="0" bIns="0" upright="0">
                      <a:spAutoFit/>
                    </wps:bodyPr>
                  </wps:wsp>
                </a:graphicData>
              </a:graphic>
            </wp:anchor>
          </w:drawing>
        </mc:Choice>
        <mc:Fallback>
          <w:pict>
            <v:shape id="_x0000_s1026" o:spid="_x0000_s1026" o:spt="202" type="#_x0000_t202" style="position:absolute;left:0pt;margin-left:358.6pt;margin-top:-17.85pt;height:36.3pt;width:72.35pt;mso-position-horizontal-relative:margin;z-index:251659264;mso-width-relative:page;mso-height-relative:page;" filled="f" stroked="f" coordsize="21600,21600" o:gfxdata="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kBF6tgAAAAKAQAADwAAAAAAAAABACAAAAAiAAAAZHJzL2Rvd25y&#10;ZXYueG1sUEsBAhQAFAAAAAgAh07iQGVGd5zFAQAAiwMAAA4AAAAAAAAAAQAgAAAAJwEAAGRycy9l&#10;Mm9Eb2MueG1sUEsFBgAAAAAGAAYAWQEAAF4FAAAAAA==&#10;">
              <v:fill on="f" focussize="0,0"/>
              <v:stroke on="f"/>
              <v:imagedata o:title=""/>
              <o:lock v:ext="edit" aspectratio="f"/>
              <v:textbox inset="0mm,0mm,0mm,0mm" style="mso-fit-shape-to-text:t;">
                <w:txbxContent>
                  <w:p w14:paraId="73B9B879">
                    <w:pPr>
                      <w:pStyle w:val="3"/>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11</w:t>
                    </w:r>
                    <w:r>
                      <w:rPr>
                        <w:rFonts w:ascii="宋体" w:hAnsi="宋体"/>
                        <w:sz w:val="28"/>
                        <w:szCs w:val="28"/>
                      </w:rPr>
                      <w:fldChar w:fldCharType="end"/>
                    </w:r>
                    <w:r>
                      <w:rPr>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2085E">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1D73F0"/>
    <w:rsid w:val="057905AA"/>
    <w:rsid w:val="07B02A34"/>
    <w:rsid w:val="0AB37C41"/>
    <w:rsid w:val="0BDF05C2"/>
    <w:rsid w:val="15D45CDB"/>
    <w:rsid w:val="20573F50"/>
    <w:rsid w:val="304F36B8"/>
    <w:rsid w:val="3AF867BC"/>
    <w:rsid w:val="3D9B618F"/>
    <w:rsid w:val="411D73F0"/>
    <w:rsid w:val="687152A7"/>
    <w:rsid w:val="7BE35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eastAsia="zh-CN" w:bidi="zh-CN"/>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qFormat/>
    <w:uiPriority w:val="0"/>
    <w:pPr>
      <w:snapToGrid w:val="0"/>
      <w:jc w:val="left"/>
    </w:pPr>
    <w:rPr>
      <w:sz w:val="18"/>
    </w:rPr>
  </w:style>
  <w:style w:type="paragraph" w:styleId="6">
    <w:name w:val="Body Text First Indent 2"/>
    <w:basedOn w:val="1"/>
    <w:qFormat/>
    <w:uiPriority w:val="0"/>
    <w:pPr>
      <w:ind w:firstLine="420"/>
    </w:pPr>
    <w:rPr>
      <w:rFonts w:ascii="Calibri" w:hAnsi="Calibri"/>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Index5"/>
    <w:next w:val="1"/>
    <w:qFormat/>
    <w:uiPriority w:val="0"/>
    <w:pPr>
      <w:widowControl w:val="0"/>
      <w:overflowPunct w:val="0"/>
      <w:ind w:left="1680" w:firstLine="200" w:firstLineChars="200"/>
      <w:jc w:val="both"/>
      <w:textAlignment w:val="baseline"/>
    </w:pPr>
    <w:rPr>
      <w:rFonts w:ascii="宋体" w:hAnsi="宋体" w:eastAsia="仿宋_GB2312" w:cs="Times New Roman"/>
      <w:kern w:val="2"/>
      <w:sz w:val="36"/>
      <w:szCs w:val="36"/>
      <w:lang w:val="en-US" w:eastAsia="zh-CN" w:bidi="ar-SA"/>
    </w:rPr>
  </w:style>
  <w:style w:type="paragraph" w:customStyle="1" w:styleId="11">
    <w:name w:val="Table Text"/>
    <w:basedOn w:val="1"/>
    <w:semiHidden/>
    <w:qFormat/>
    <w:uiPriority w:val="0"/>
    <w:rPr>
      <w:rFonts w:ascii="宋体" w:hAnsi="宋体" w:eastAsia="宋体" w:cs="宋体"/>
      <w:sz w:val="24"/>
      <w:szCs w:val="24"/>
      <w:lang w:val="en-US" w:eastAsia="en-US" w:bidi="ar-SA"/>
    </w:rPr>
  </w:style>
  <w:style w:type="table" w:customStyle="1" w:styleId="12">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2617</Words>
  <Characters>2898</Characters>
  <Lines>0</Lines>
  <Paragraphs>0</Paragraphs>
  <TotalTime>125</TotalTime>
  <ScaleCrop>false</ScaleCrop>
  <LinksUpToDate>false</LinksUpToDate>
  <CharactersWithSpaces>2978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2025-07-17T08:57:00Z</dcterms:created>
  <dc:creator>。</dc:creator>
  <cp:lastModifiedBy>-</cp:lastModifiedBy>
  <dcterms:modified xsi:type="dcterms:W3CDTF">2025-07-29T03:13:21Z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08BA33E504B645208A85CCB1F5CB1C46_13</vt:lpwstr>
  </property>
  <property fmtid="{D5CDD505-2E9C-101B-9397-08002B2CF9AE}" pid="4" name="KSOTemplateDocerSaveRecord">
    <vt:lpwstr>eyJoZGlkIjoiZDAzOTYyZGY0M2VhMDY1ZGE0MzYwNDlmZjY2MGRmNTUiLCJ1c2VySWQiOiI0MDc2NzkxODUifQ==</vt:lpwstr>
  </property>
</Properties>
</file>